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7ei3ilqkbcih" w:id="0"/>
      <w:bookmarkEnd w:id="0"/>
      <w:r w:rsidDel="00000000" w:rsidR="00000000" w:rsidRPr="00000000">
        <w:rPr>
          <w:rtl w:val="0"/>
        </w:rPr>
        <w:t xml:space="preserve">Activity 1: Audience Analysis Worksheet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the shared set of visuals, you will work with 1 set.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the given images in the set, infer the nature of your audience.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Fill out the worksheet accordingly.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will have 20 minutes per section. Adhere strictly to the time.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8wyw79t7slh" w:id="1"/>
      <w:bookmarkEnd w:id="1"/>
      <w:r w:rsidDel="00000000" w:rsidR="00000000" w:rsidRPr="00000000">
        <w:rPr>
          <w:rtl w:val="0"/>
        </w:rPr>
        <w:t xml:space="preserve">Activity 2: What could go wrong?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groups of 4, you will work with certain start-up ideas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Your task is to anticipate potential problems that may lead the project to failure.</w:t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ectral" w:cs="Spectral" w:eastAsia="Spectral" w:hAnsi="Spectr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b w:val="1"/>
      <w:bCs w:val="1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50"/>
      <w:szCs w:val="50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sz w:val="34"/>
      <w:szCs w:val="3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84"/>
      <w:szCs w:val="84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400" w:lineRule="auto"/>
    </w:pPr>
    <w:rPr>
      <w:color w:val="999999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