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ezn636e2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Rubric: Critical Reading Questions (Subjective)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Question: 5 Marks | Total: 20 Marks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4.0718562874254"/>
        <w:gridCol w:w="1489.940119760479"/>
        <w:gridCol w:w="1489.940119760479"/>
        <w:gridCol w:w="1616.0479041916167"/>
        <w:gridCol w:w="1489.940119760479"/>
        <w:gridCol w:w="1630.0598802395211"/>
        <w:tblGridChange w:id="0">
          <w:tblGrid>
            <w:gridCol w:w="1644.0718562874254"/>
            <w:gridCol w:w="1489.940119760479"/>
            <w:gridCol w:w="1489.940119760479"/>
            <w:gridCol w:w="1616.0479041916167"/>
            <w:gridCol w:w="1489.940119760479"/>
            <w:gridCol w:w="1630.059880239521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Satisfactory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of the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Shows thorough and accurate understanding of the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Shows good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Shows basic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Limited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Misunderstands the text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Textual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Uses clear, specific, and relevant examples from the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Uses relevant but not fully developed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Some vague or limited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Very weak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reference to the text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Insightful and original analysis of language, causes, balance, or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Some critical engagement beyond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Mostly descriptive with little critique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Very limited critical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critical thinking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&amp;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Very clear, coherent, and well-structured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Mostly clear and 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weakly organized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Poorly organized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Unclear or incoherent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6rfju1icjd0i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