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2: Building an Academic Paragraph - Worksheet</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hd w:fill="ffd966" w:val="clear"/>
          <w:rtl w:val="0"/>
        </w:rPr>
        <w:t xml:space="preserve">Juhayra Khan</w:t>
        <w:tab/>
      </w: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Roll no.: </w:t>
      </w:r>
      <w:r w:rsidDel="00000000" w:rsidR="00000000" w:rsidRPr="00000000">
        <w:rPr>
          <w:rFonts w:ascii="Times New Roman" w:cs="Times New Roman" w:eastAsia="Times New Roman" w:hAnsi="Times New Roman"/>
          <w:b w:val="1"/>
          <w:bCs w:val="1"/>
          <w:highlight w:val="yellow"/>
          <w:rtl w:val="0"/>
        </w:rPr>
        <w:t xml:space="preserve">25I-0922</w:t>
      </w:r>
      <w:r w:rsidDel="00000000" w:rsidR="00000000" w:rsidRPr="00000000">
        <w:rPr>
          <w:rFonts w:ascii="Times New Roman" w:cs="Times New Roman" w:eastAsia="Times New Roman" w:hAnsi="Times New Roman"/>
          <w:b w:val="1"/>
          <w:bCs w:val="1"/>
          <w:rtl w:val="0"/>
        </w:rPr>
        <w:tab/>
        <w:tab/>
        <w:tab/>
        <w:t xml:space="preserve">Section:</w:t>
      </w:r>
      <w:r w:rsidDel="00000000" w:rsidR="00000000" w:rsidRPr="00000000">
        <w:rPr>
          <w:rFonts w:ascii="Times New Roman" w:cs="Times New Roman" w:eastAsia="Times New Roman" w:hAnsi="Times New Roman"/>
          <w:b w:val="1"/>
          <w:bCs w:val="1"/>
          <w:highlight w:val="yellow"/>
          <w:rtl w:val="0"/>
        </w:rPr>
        <w:t xml:space="preserve"> F1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______________________________________________________________________________</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Instructions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paragraph below carefully and complete the tasks that follow.</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I: Identifying Supporting Sentences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w:t>
      </w:r>
      <w:r w:rsidDel="00000000" w:rsidR="00000000" w:rsidRPr="00000000">
        <w:rPr>
          <w:rFonts w:ascii="Times New Roman" w:cs="Times New Roman" w:eastAsia="Times New Roman" w:hAnsi="Times New Roman"/>
          <w:rtl w:val="0"/>
        </w:rPr>
        <w:t xml:space="preserve"> Recognizing how support develops the topic sentence</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 the following Paragraph and identify different types of supporting details in it:</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hd w:fill="ead1dc" w:val="clear"/>
          <w:rtl w:val="0"/>
        </w:rPr>
        <w:t xml:space="preserve">Using storytelling in educational settings can enable educators to connect with their students because of the inborn tendency for humans to listen to stories.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d0e0e3" w:val="clear"/>
          <w:rtl w:val="0"/>
        </w:rPr>
        <w:t xml:space="preserve">Written languages have only existed for between 6,000 and 7,000 years (Daniels &amp; Bright, 1995)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d0e0e3" w:val="clear"/>
          <w:rtl w:val="0"/>
        </w:rPr>
        <w:t xml:space="preserve">Before then, and continually ever since, in many cultures, important lessons for life were passed on using the oral tradition of storytelling</w:t>
      </w:r>
      <w:r w:rsidDel="00000000" w:rsidR="00000000" w:rsidRPr="00000000">
        <w:rPr>
          <w:rFonts w:ascii="Times New Roman" w:cs="Times New Roman" w:eastAsia="Times New Roman" w:hAnsi="Times New Roman"/>
          <w:rtl w:val="0"/>
        </w:rPr>
        <w:t xml:space="preserve">. These varied from simple informative tales, to help us learn how to find food or avoid danger, to more magical and miraculous stories designed to help us see how we can resolve conflict and find our place in society (Zipes, 2012)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d0e0e3" w:val="clear"/>
          <w:rtl w:val="0"/>
        </w:rPr>
        <w:t xml:space="preserve">Oral storytelling traditions are still fundamental to native American culture, and Rebecca Bishop, a native American public relations officer (quoted in Sorensen, 2012), believes that the physical act of storytelling is a special thing; children will automatically stop what they are doing and listen when a story is told. </w:t>
      </w:r>
      <w:r w:rsidDel="00000000" w:rsidR="00000000" w:rsidRPr="00000000">
        <w:rPr>
          <w:rFonts w:ascii="Times New Roman" w:cs="Times New Roman" w:eastAsia="Times New Roman" w:hAnsi="Times New Roman"/>
          <w:rtl w:val="0"/>
        </w:rPr>
        <w:t xml:space="preserve">Professional communicators report that this continues to adulthood (Simmons, 2006; Stevenson, 2008).</w:t>
      </w:r>
      <w:r w:rsidDel="00000000" w:rsidR="00000000" w:rsidRPr="00000000">
        <w:rPr>
          <w:rFonts w:ascii="Times New Roman" w:cs="Times New Roman" w:eastAsia="Times New Roman" w:hAnsi="Times New Roman"/>
          <w:rtl w:val="0"/>
        </w:rPr>
        <w:t xml:space="preserve"> This means that storytelling can be a powerful tool for connecting with students of all ages in a way that a list of bullet points in a PowerPoint presentation cannot. </w:t>
      </w:r>
      <w:r w:rsidDel="00000000" w:rsidR="00000000" w:rsidRPr="00000000">
        <w:rPr>
          <w:rFonts w:ascii="Times New Roman" w:cs="Times New Roman" w:eastAsia="Times New Roman" w:hAnsi="Times New Roman"/>
          <w:shd w:fill="e6b8af" w:val="clear"/>
          <w:rtl w:val="0"/>
        </w:rPr>
        <w:t xml:space="preserve">The emotional connection and innate, almost hardwired, need to listen when someone tells a story means that educators can teach memorable lessons in a uniquely engaging manner that is common to all cultures.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jc w:val="both"/>
        <w:rPr>
          <w:rFonts w:ascii="Times New Roman" w:cs="Times New Roman" w:eastAsia="Times New Roman" w:hAnsi="Times New Roman"/>
          <w:shd w:fill="ead1dc" w:val="clear"/>
        </w:rPr>
      </w:pPr>
      <w:r w:rsidDel="00000000" w:rsidR="00000000" w:rsidRPr="00000000">
        <w:rPr>
          <w:rFonts w:ascii="Times New Roman" w:cs="Times New Roman" w:eastAsia="Times New Roman" w:hAnsi="Times New Roman"/>
          <w:shd w:fill="ead1dc" w:val="clear"/>
          <w:rtl w:val="0"/>
        </w:rPr>
        <w:t xml:space="preserve">Topic Sentence</w:t>
      </w:r>
    </w:p>
    <w:p w:rsidR="00000000" w:rsidDel="00000000" w:rsidP="00000000" w:rsidRDefault="00000000" w:rsidRPr="00000000" w14:paraId="0000000A">
      <w:pPr>
        <w:jc w:val="both"/>
        <w:rPr>
          <w:rFonts w:ascii="Times New Roman" w:cs="Times New Roman" w:eastAsia="Times New Roman" w:hAnsi="Times New Roman"/>
          <w:shd w:fill="d0e0e3" w:val="clear"/>
        </w:rPr>
      </w:pPr>
      <w:r w:rsidDel="00000000" w:rsidR="00000000" w:rsidRPr="00000000">
        <w:rPr>
          <w:rFonts w:ascii="Times New Roman" w:cs="Times New Roman" w:eastAsia="Times New Roman" w:hAnsi="Times New Roman"/>
          <w:shd w:fill="d0e0e3" w:val="clear"/>
          <w:rtl w:val="0"/>
        </w:rPr>
        <w:t xml:space="preserve">Primary Support (i think)</w:t>
      </w:r>
    </w:p>
    <w:p w:rsidR="00000000" w:rsidDel="00000000" w:rsidP="00000000" w:rsidRDefault="00000000" w:rsidRPr="00000000" w14:paraId="0000000B">
      <w:pPr>
        <w:jc w:val="both"/>
        <w:rPr>
          <w:rFonts w:ascii="Times New Roman" w:cs="Times New Roman" w:eastAsia="Times New Roman" w:hAnsi="Times New Roman"/>
          <w:shd w:fill="e6b8af" w:val="clear"/>
        </w:rPr>
      </w:pPr>
      <w:r w:rsidDel="00000000" w:rsidR="00000000" w:rsidRPr="00000000">
        <w:rPr>
          <w:rFonts w:ascii="Times New Roman" w:cs="Times New Roman" w:eastAsia="Times New Roman" w:hAnsi="Times New Roman"/>
          <w:shd w:fill="e6b8af" w:val="clear"/>
          <w:rtl w:val="0"/>
        </w:rPr>
        <w:t xml:space="preserve">Concluding Statement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each supporting sentence according to its type:</w:t>
      </w:r>
    </w:p>
    <w:tbl>
      <w:tblPr>
        <w:tblStyle w:val="Table1"/>
        <w:tblW w:w="9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7051"/>
        <w:tblGridChange w:id="0">
          <w:tblGrid>
            <w:gridCol w:w="2245"/>
            <w:gridCol w:w="7051"/>
          </w:tblGrid>
        </w:tblGridChange>
      </w:tblGrid>
      <w:tr>
        <w:trPr>
          <w:cantSplit w:val="0"/>
          <w:trHeight w:val="482" w:hRule="atLeast"/>
          <w:tblHeader w:val="0"/>
        </w:trPr>
        <w:tc>
          <w:tcPr/>
          <w:p w:rsidR="00000000" w:rsidDel="00000000" w:rsidP="00000000" w:rsidRDefault="00000000" w:rsidRPr="00000000" w14:paraId="0000000D">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Sentence Number</w:t>
            </w:r>
          </w:p>
        </w:tc>
        <w:tc>
          <w:tcPr/>
          <w:p w:rsidR="00000000" w:rsidDel="00000000" w:rsidP="00000000" w:rsidRDefault="00000000" w:rsidRPr="00000000" w14:paraId="0000000E">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 Type (circle/ highlight one)</w:t>
            </w:r>
          </w:p>
        </w:tc>
      </w:tr>
      <w:tr>
        <w:trPr>
          <w:cantSplit w:val="0"/>
          <w:trHeight w:val="469.99999999999886" w:hRule="atLeast"/>
          <w:tblHeader w:val="0"/>
        </w:trPr>
        <w:tc>
          <w:tcPr/>
          <w:p w:rsidR="00000000" w:rsidDel="00000000" w:rsidP="00000000" w:rsidRDefault="00000000" w:rsidRPr="00000000" w14:paraId="0000000F">
            <w:pPr>
              <w:spacing w:after="160" w:line="278.0000000000000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w:t>
            </w:r>
          </w:p>
        </w:tc>
        <w:tc>
          <w:tcPr/>
          <w:p w:rsidR="00000000" w:rsidDel="00000000" w:rsidP="00000000" w:rsidRDefault="00000000" w:rsidRPr="00000000" w14:paraId="0000001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Illustration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Explanation </w:t>
            </w:r>
            <w:r w:rsidDel="00000000" w:rsidR="00000000" w:rsidRPr="00000000">
              <w:rPr>
                <w:rFonts w:ascii="Times New Roman" w:cs="Times New Roman" w:eastAsia="Times New Roman" w:hAnsi="Times New Roman"/>
                <w:rtl w:val="0"/>
              </w:rPr>
              <w:t xml:space="preserve">/ Justification / Elaboration</w:t>
            </w:r>
          </w:p>
        </w:tc>
      </w:tr>
      <w:tr>
        <w:trPr>
          <w:cantSplit w:val="0"/>
          <w:trHeight w:val="482" w:hRule="atLeast"/>
          <w:tblHeader w:val="0"/>
        </w:trPr>
        <w:tc>
          <w:tcPr/>
          <w:p w:rsidR="00000000" w:rsidDel="00000000" w:rsidP="00000000" w:rsidRDefault="00000000" w:rsidRPr="00000000" w14:paraId="00000011">
            <w:pPr>
              <w:spacing w:after="160" w:line="278.0000000000000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w:t>
            </w:r>
          </w:p>
        </w:tc>
        <w:tc>
          <w:tcPr/>
          <w:p w:rsidR="00000000" w:rsidDel="00000000" w:rsidP="00000000" w:rsidRDefault="00000000" w:rsidRPr="00000000" w14:paraId="0000001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Explanation </w:t>
            </w:r>
            <w:r w:rsidDel="00000000" w:rsidR="00000000" w:rsidRPr="00000000">
              <w:rPr>
                <w:rFonts w:ascii="Times New Roman" w:cs="Times New Roman" w:eastAsia="Times New Roman" w:hAnsi="Times New Roman"/>
                <w:rtl w:val="0"/>
              </w:rPr>
              <w:t xml:space="preserve">/ Justification / </w:t>
            </w:r>
            <w:r w:rsidDel="00000000" w:rsidR="00000000" w:rsidRPr="00000000">
              <w:rPr>
                <w:rFonts w:ascii="Times New Roman" w:cs="Times New Roman" w:eastAsia="Times New Roman" w:hAnsi="Times New Roman"/>
                <w:rtl w:val="0"/>
              </w:rPr>
              <w:t xml:space="preserve">Elaboration</w:t>
            </w:r>
          </w:p>
        </w:tc>
      </w:tr>
      <w:tr>
        <w:trPr>
          <w:cantSplit w:val="0"/>
          <w:trHeight w:val="482" w:hRule="atLeast"/>
          <w:tblHeader w:val="0"/>
        </w:trPr>
        <w:tc>
          <w:tcPr/>
          <w:p w:rsidR="00000000" w:rsidDel="00000000" w:rsidP="00000000" w:rsidRDefault="00000000" w:rsidRPr="00000000" w14:paraId="00000013">
            <w:pPr>
              <w:spacing w:after="160" w:line="278.0000000000000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w:t>
            </w:r>
          </w:p>
        </w:tc>
        <w:tc>
          <w:tcPr/>
          <w:p w:rsidR="00000000" w:rsidDel="00000000" w:rsidP="00000000" w:rsidRDefault="00000000" w:rsidRPr="00000000" w14:paraId="00000014">
            <w:pPr>
              <w:spacing w:after="160" w:line="278.00000000000006"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Illustration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Explanation </w:t>
            </w:r>
            <w:r w:rsidDel="00000000" w:rsidR="00000000" w:rsidRPr="00000000">
              <w:rPr>
                <w:rFonts w:ascii="Times New Roman" w:cs="Times New Roman" w:eastAsia="Times New Roman" w:hAnsi="Times New Roman"/>
                <w:rtl w:val="0"/>
              </w:rPr>
              <w:t xml:space="preserve">/ Justification / </w:t>
            </w:r>
            <w:r w:rsidDel="00000000" w:rsidR="00000000" w:rsidRPr="00000000">
              <w:rPr>
                <w:rFonts w:ascii="Times New Roman" w:cs="Times New Roman" w:eastAsia="Times New Roman" w:hAnsi="Times New Roman"/>
                <w:highlight w:val="yellow"/>
                <w:rtl w:val="0"/>
              </w:rPr>
              <w:t xml:space="preserve">Elaboration</w:t>
            </w:r>
          </w:p>
        </w:tc>
      </w:tr>
      <w:tr>
        <w:trPr>
          <w:cantSplit w:val="0"/>
          <w:trHeight w:val="482" w:hRule="atLeast"/>
          <w:tblHeader w:val="0"/>
        </w:trPr>
        <w:tc>
          <w:tcPr/>
          <w:p w:rsidR="00000000" w:rsidDel="00000000" w:rsidP="00000000" w:rsidRDefault="00000000" w:rsidRPr="00000000" w14:paraId="00000015">
            <w:pPr>
              <w:spacing w:after="160" w:line="278.0000000000000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w:t>
            </w:r>
          </w:p>
        </w:tc>
        <w:tc>
          <w:tcPr/>
          <w:p w:rsidR="00000000" w:rsidDel="00000000" w:rsidP="00000000" w:rsidRDefault="00000000" w:rsidRPr="00000000" w14:paraId="0000001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Illustration </w:t>
            </w:r>
            <w:r w:rsidDel="00000000" w:rsidR="00000000" w:rsidRPr="00000000">
              <w:rPr>
                <w:rFonts w:ascii="Times New Roman" w:cs="Times New Roman" w:eastAsia="Times New Roman" w:hAnsi="Times New Roman"/>
                <w:rtl w:val="0"/>
              </w:rPr>
              <w:t xml:space="preserve">/ Explanation / </w:t>
            </w:r>
            <w:r w:rsidDel="00000000" w:rsidR="00000000" w:rsidRPr="00000000">
              <w:rPr>
                <w:rFonts w:ascii="Times New Roman" w:cs="Times New Roman" w:eastAsia="Times New Roman" w:hAnsi="Times New Roman"/>
                <w:highlight w:val="yellow"/>
                <w:rtl w:val="0"/>
              </w:rPr>
              <w:t xml:space="preserve">Justification </w:t>
            </w:r>
            <w:r w:rsidDel="00000000" w:rsidR="00000000" w:rsidRPr="00000000">
              <w:rPr>
                <w:rFonts w:ascii="Times New Roman" w:cs="Times New Roman" w:eastAsia="Times New Roman" w:hAnsi="Times New Roman"/>
                <w:rtl w:val="0"/>
              </w:rPr>
              <w:t xml:space="preserve">/ Elaboration</w:t>
            </w:r>
          </w:p>
        </w:tc>
      </w:tr>
      <w:tr>
        <w:trPr>
          <w:cantSplit w:val="0"/>
          <w:trHeight w:val="470.0000000000023" w:hRule="atLeast"/>
          <w:tblHeader w:val="0"/>
        </w:trPr>
        <w:tc>
          <w:tcPr/>
          <w:p w:rsidR="00000000" w:rsidDel="00000000" w:rsidP="00000000" w:rsidRDefault="00000000" w:rsidRPr="00000000" w14:paraId="00000017">
            <w:pPr>
              <w:spacing w:after="160" w:line="278.0000000000000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w:t>
            </w:r>
          </w:p>
        </w:tc>
        <w:tc>
          <w:tcPr/>
          <w:p w:rsidR="00000000" w:rsidDel="00000000" w:rsidP="00000000" w:rsidRDefault="00000000" w:rsidRPr="00000000" w14:paraId="0000001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Illustration </w:t>
            </w:r>
            <w:r w:rsidDel="00000000" w:rsidR="00000000" w:rsidRPr="00000000">
              <w:rPr>
                <w:rFonts w:ascii="Times New Roman" w:cs="Times New Roman" w:eastAsia="Times New Roman" w:hAnsi="Times New Roman"/>
                <w:rtl w:val="0"/>
              </w:rPr>
              <w:t xml:space="preserve">/ Explanation / Justification / Elaboration</w:t>
            </w:r>
          </w:p>
        </w:tc>
      </w:tr>
      <w:tr>
        <w:trPr>
          <w:cantSplit w:val="0"/>
          <w:trHeight w:val="482" w:hRule="atLeast"/>
          <w:tblHeader w:val="0"/>
        </w:trPr>
        <w:tc>
          <w:tcPr/>
          <w:p w:rsidR="00000000" w:rsidDel="00000000" w:rsidP="00000000" w:rsidRDefault="00000000" w:rsidRPr="00000000" w14:paraId="00000019">
            <w:pPr>
              <w:spacing w:after="160" w:line="278.0000000000000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7</w:t>
            </w:r>
          </w:p>
        </w:tc>
        <w:tc>
          <w:tcPr/>
          <w:p w:rsidR="00000000" w:rsidDel="00000000" w:rsidP="00000000" w:rsidRDefault="00000000" w:rsidRPr="00000000" w14:paraId="0000001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Illustration / </w:t>
            </w:r>
            <w:r w:rsidDel="00000000" w:rsidR="00000000" w:rsidRPr="00000000">
              <w:rPr>
                <w:rFonts w:ascii="Times New Roman" w:cs="Times New Roman" w:eastAsia="Times New Roman" w:hAnsi="Times New Roman"/>
                <w:highlight w:val="yellow"/>
                <w:rtl w:val="0"/>
              </w:rPr>
              <w:t xml:space="preserve">Explanation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Justification </w:t>
            </w:r>
            <w:r w:rsidDel="00000000" w:rsidR="00000000" w:rsidRPr="00000000">
              <w:rPr>
                <w:rFonts w:ascii="Times New Roman" w:cs="Times New Roman" w:eastAsia="Times New Roman" w:hAnsi="Times New Roman"/>
                <w:rtl w:val="0"/>
              </w:rPr>
              <w:t xml:space="preserve">/ Elaboration</w:t>
            </w:r>
          </w:p>
        </w:tc>
      </w:tr>
    </w:tbl>
    <w:p w:rsidR="00000000" w:rsidDel="00000000" w:rsidP="00000000" w:rsidRDefault="00000000" w:rsidRPr="00000000" w14:paraId="0000001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Analyze the Support Mix</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A. Which type of support appears most frequently? </w:t>
      </w:r>
      <w:r w:rsidDel="00000000" w:rsidR="00000000" w:rsidRPr="00000000">
        <w:rPr>
          <w:rFonts w:ascii="Times New Roman" w:cs="Times New Roman" w:eastAsia="Times New Roman" w:hAnsi="Times New Roman"/>
          <w:highlight w:val="yellow"/>
          <w:rtl w:val="0"/>
        </w:rPr>
        <w:t xml:space="preserve">Illustration</w:t>
      </w:r>
    </w:p>
    <w:p w:rsidR="00000000" w:rsidDel="00000000" w:rsidP="00000000" w:rsidRDefault="00000000" w:rsidRPr="00000000" w14:paraId="0000001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B. Which supporting detail is the most effective? Why? </w:t>
      </w:r>
      <w:r w:rsidDel="00000000" w:rsidR="00000000" w:rsidRPr="00000000">
        <w:rPr>
          <w:rFonts w:ascii="Times New Roman" w:cs="Times New Roman" w:eastAsia="Times New Roman" w:hAnsi="Times New Roman"/>
          <w:highlight w:val="yellow"/>
          <w:rtl w:val="0"/>
        </w:rPr>
        <w:t xml:space="preserve">Explanation, because it expands the most on the topic, especially the last supporting statement because it links back to the topic sentence.</w:t>
      </w:r>
    </w:p>
    <w:p w:rsidR="00000000" w:rsidDel="00000000" w:rsidP="00000000" w:rsidRDefault="00000000" w:rsidRPr="00000000" w14:paraId="0000002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C. Is any supporting detail weak, repetitive, or underdeveloped? Explain. </w:t>
      </w:r>
      <w:r w:rsidDel="00000000" w:rsidR="00000000" w:rsidRPr="00000000">
        <w:rPr>
          <w:rFonts w:ascii="Times New Roman" w:cs="Times New Roman" w:eastAsia="Times New Roman" w:hAnsi="Times New Roman"/>
          <w:highlight w:val="yellow"/>
          <w:rtl w:val="0"/>
        </w:rPr>
        <w:t xml:space="preserve">The first supporting sentence relating to written language, because it is not directly related to the topic of oral storytelling, and is never developed later on in the paragraph.</w:t>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______________________________________________________________________________</w:t>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II: Generating Support For a Topic Sentence</w:t>
      </w:r>
    </w:p>
    <w:p w:rsidR="00000000" w:rsidDel="00000000" w:rsidP="00000000" w:rsidRDefault="00000000" w:rsidRPr="00000000" w14:paraId="000000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w:t>
      </w:r>
      <w:r w:rsidDel="00000000" w:rsidR="00000000" w:rsidRPr="00000000">
        <w:rPr>
          <w:rFonts w:ascii="Times New Roman" w:cs="Times New Roman" w:eastAsia="Times New Roman" w:hAnsi="Times New Roman"/>
          <w:rtl w:val="0"/>
        </w:rPr>
        <w:t xml:space="preserve"> Writing appropriate supporting details.</w:t>
      </w:r>
    </w:p>
    <w:p w:rsidR="00000000" w:rsidDel="00000000" w:rsidP="00000000" w:rsidRDefault="00000000" w:rsidRPr="00000000" w14:paraId="000000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6"/>
          <w:szCs w:val="26"/>
          <w:rtl w:val="0"/>
        </w:rPr>
        <w:t xml:space="preserve">Instructions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Choose </w:t>
      </w:r>
      <w:r w:rsidDel="00000000" w:rsidR="00000000" w:rsidRPr="00000000">
        <w:rPr>
          <w:rFonts w:ascii="Times New Roman" w:cs="Times New Roman" w:eastAsia="Times New Roman" w:hAnsi="Times New Roman"/>
          <w:b w:val="1"/>
          <w:bCs w:val="1"/>
          <w:rtl w:val="0"/>
        </w:rPr>
        <w:t xml:space="preserve">ONE</w:t>
      </w:r>
      <w:r w:rsidDel="00000000" w:rsidR="00000000" w:rsidRPr="00000000">
        <w:rPr>
          <w:rFonts w:ascii="Times New Roman" w:cs="Times New Roman" w:eastAsia="Times New Roman" w:hAnsi="Times New Roman"/>
          <w:rtl w:val="0"/>
        </w:rPr>
        <w:t xml:space="preserve"> topic sentence from the list below. Do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write a full paragraph.</w:t>
      </w:r>
    </w:p>
    <w:p w:rsidR="00000000" w:rsidDel="00000000" w:rsidP="00000000" w:rsidRDefault="00000000" w:rsidRPr="00000000" w14:paraId="00000026">
      <w:pPr>
        <w:pStyle w:val="Heading3"/>
        <w:keepNext w:val="0"/>
        <w:keepLines w:val="0"/>
        <w:spacing w:before="280" w:line="240" w:lineRule="auto"/>
        <w:rPr>
          <w:rFonts w:ascii="Times New Roman" w:cs="Times New Roman" w:eastAsia="Times New Roman" w:hAnsi="Times New Roman"/>
        </w:rPr>
      </w:pPr>
      <w:bookmarkStart w:colFirst="0" w:colLast="0" w:name="_heading=h.1frtsmg44vv8" w:id="0"/>
      <w:bookmarkEnd w:id="0"/>
      <w:r w:rsidDel="00000000" w:rsidR="00000000" w:rsidRPr="00000000">
        <w:rPr>
          <w:rFonts w:ascii="Times New Roman" w:cs="Times New Roman" w:eastAsia="Times New Roman" w:hAnsi="Times New Roman"/>
          <w:b w:val="1"/>
          <w:bCs w:val="1"/>
          <w:color w:val="000000"/>
          <w:sz w:val="26"/>
          <w:szCs w:val="26"/>
          <w:rtl w:val="0"/>
        </w:rPr>
        <w:t xml:space="preserve">Topic Sentences (Choose ONE or make ur own)</w:t>
      </w: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education should focus equally on employability skills and academic knowledge.</w:t>
      </w:r>
    </w:p>
    <w:p w:rsidR="00000000" w:rsidDel="00000000" w:rsidP="00000000" w:rsidRDefault="00000000" w:rsidRPr="00000000" w14:paraId="00000028">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pressure significantly influences students’ mental health and motivation.</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increasing use of artificial intelligence tools is changing how students approach learning.</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BookTok is endangering media literacy, in multiple ways at once.</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lef2uhltdk8" w:id="1"/>
      <w:bookmarkEnd w:id="1"/>
      <w:r w:rsidDel="00000000" w:rsidR="00000000" w:rsidRPr="00000000">
        <w:rPr>
          <w:rFonts w:ascii="Times New Roman" w:cs="Times New Roman" w:eastAsia="Times New Roman" w:hAnsi="Times New Roman"/>
          <w:b w:val="1"/>
          <w:bCs w:val="1"/>
          <w:color w:val="000000"/>
          <w:sz w:val="26"/>
          <w:szCs w:val="26"/>
          <w:rtl w:val="0"/>
        </w:rPr>
        <w:t xml:space="preserve">Task 1: Develop Supporting Details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in the planning chart according to your topic sentence.</w:t>
      </w:r>
    </w:p>
    <w:tbl>
      <w:tblPr>
        <w:tblStyle w:val="Table2"/>
        <w:tblW w:w="10695.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25"/>
        <w:gridCol w:w="7770"/>
        <w:tblGridChange w:id="0">
          <w:tblGrid>
            <w:gridCol w:w="2925"/>
            <w:gridCol w:w="7770"/>
          </w:tblGrid>
        </w:tblGridChange>
      </w:tblGrid>
      <w:tr>
        <w:trPr>
          <w:cantSplit w:val="0"/>
          <w:trHeight w:val="758" w:hRule="atLeast"/>
          <w:tblHeader w:val="0"/>
        </w:trPr>
        <w:tc>
          <w:tcPr/>
          <w:p w:rsidR="00000000" w:rsidDel="00000000" w:rsidP="00000000" w:rsidRDefault="00000000" w:rsidRPr="00000000" w14:paraId="0000002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of Support</w:t>
            </w:r>
            <w:r w:rsidDel="00000000" w:rsidR="00000000" w:rsidRPr="00000000">
              <w:rPr>
                <w:rtl w:val="0"/>
              </w:rPr>
            </w:r>
          </w:p>
        </w:tc>
        <w:tc>
          <w:tcPr/>
          <w:p w:rsidR="00000000" w:rsidDel="00000000" w:rsidP="00000000" w:rsidRDefault="00000000" w:rsidRPr="00000000" w14:paraId="000000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Supporting Detail</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Fact or statistic (realistic/academic)</w:t>
            </w:r>
          </w:p>
        </w:tc>
        <w:tc>
          <w:tcPr/>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does this by reducing the nuance and depth of stories to tropes, such as ‘found family’ ‘enemies to lovers’ ‘meet-cute’ ‘happy ending’ and more. </w:t>
            </w:r>
          </w:p>
        </w:tc>
      </w:tr>
      <w:tr>
        <w:trPr>
          <w:cantSplit w:val="0"/>
          <w:trHeight w:val="758" w:hRule="atLeast"/>
          <w:tblHeader w:val="0"/>
        </w:trPr>
        <w:tc>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Example or brief scenario</w:t>
            </w:r>
          </w:p>
        </w:tc>
        <w:tc>
          <w:tcPr/>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033">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Explanation (how this supports the topic sentence)</w:t>
            </w:r>
          </w:p>
        </w:tc>
        <w:tc>
          <w:tcPr/>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Without media literacy, we as a society risk losing our curiosity, individuality and ability to question what messages a text might contain beyond its surface level.</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This is detrimental, because books and media are meant to expose us to different perceptions of life and cultures, which is something BookTok books fail to provide.</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as readers are only consuming repetitive and predictable books, there is no room or reason to practice media literacy skills anymore.</w:t>
            </w:r>
          </w:p>
        </w:tc>
      </w:tr>
      <w:tr>
        <w:trPr>
          <w:cantSplit w:val="0"/>
          <w:trHeight w:val="758" w:hRule="atLeast"/>
          <w:tblHeader w:val="0"/>
        </w:trPr>
        <w:tc>
          <w:tcPr/>
          <w:p w:rsidR="00000000" w:rsidDel="00000000" w:rsidP="00000000" w:rsidRDefault="00000000" w:rsidRPr="00000000" w14:paraId="00000037">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Justification (reason why?)</w:t>
            </w:r>
          </w:p>
        </w:tc>
        <w:tc>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These often not only end up spoiling and reducing the stories to basic cookie-cutter elements, but also remove any possible moral or conclusion from them.</w:t>
            </w:r>
          </w:p>
        </w:tc>
      </w:tr>
      <w:tr>
        <w:trPr>
          <w:cantSplit w:val="0"/>
          <w:trHeight w:val="758" w:hRule="atLeast"/>
          <w:tblHeader w:val="0"/>
        </w:trPr>
        <w:tc>
          <w:tcPr/>
          <w:p w:rsidR="00000000" w:rsidDel="00000000" w:rsidP="00000000" w:rsidRDefault="00000000" w:rsidRPr="00000000" w14:paraId="00000039">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Confused column</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it encourages reading and reduces screentime, it faces scrutiny because it promotes braindead reading and a sort of sheep mentality.</w:t>
            </w:r>
          </w:p>
        </w:tc>
      </w:tr>
    </w:tbl>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Part III: Writing the Paragraph</w:t>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your topic sentence and supporting details from Part 2, write one academic paragraph (120–150 words).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paragraph must include:</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clear topic sentence</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three different types of supporting details</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transitions</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concluding sentence that reinforces (not repeats) the main idea</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7829" w:hRule="atLeast"/>
          <w:tblHeader w:val="0"/>
        </w:trPr>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BookTok is endangering media literacy, in multiple ways at once. BookTok, for those of you unaware, is the shortened version of Book Tiktok, but refers to all discussions regarding popular books across all social media platforms, particularly Instagram. While it encourages reading and reduces screentime, it faces scrutiny because it promotes braindead consumerism, disregarding media literacy as a whole. It does this by reducing the nuance and depth of stories to tropes, such as ‘found family’ ‘enemies to lovers’ ‘meet-cute’ ‘happy ending’ and more. These often not only end up spoiling and reducing the stories to basic cookie-cutter elements, but also remove any possible moral or conclusion from them. Hence, this is detrimental to our critical thinking, because books and media are meant to expose us to different perceptions of life and cultures, and without training our media literacy, we risk losing our curiosity, individuality and ability to question what messages a text might contain beyond its surface level. Furthermore, BookTok further degrades media literacy by painting all conversations related to nuance in a ‘black-and-white’ manner. A famous example of this is how Avatar, the last Airbender character Korra is either seen as a saint or a war-criminal, never as a child with unbearable trauma and burden, at least in the popular social media posts. Hence, this example illustrates the ongoing destruction of critical thinking, and peddling of the ‘good or bad’ mindset. Ultimately, while the influx of new readers brought in from BookTok is a plus point, we cannot let the sanitization of the internet reach the words on our pages, much less the thoughts in our head.</w:t>
            </w:r>
          </w:p>
        </w:tc>
      </w:tr>
    </w:tbl>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Expository Writing Lab</w:t>
      <w:tab/>
      <w:tab/>
      <w:t xml:space="preserve">Spring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79164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164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164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164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9164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9164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9164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9164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9164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164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164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164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164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9164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164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1645"/>
    <w:rPr>
      <w:i w:val="1"/>
      <w:iCs w:val="1"/>
      <w:color w:val="404040" w:themeColor="text1" w:themeTint="0000BF"/>
    </w:rPr>
  </w:style>
  <w:style w:type="paragraph" w:styleId="ListParagraph">
    <w:name w:val="List Paragraph"/>
    <w:basedOn w:val="Normal"/>
    <w:uiPriority w:val="34"/>
    <w:qFormat w:val="1"/>
    <w:rsid w:val="00791645"/>
    <w:pPr>
      <w:ind w:left="720"/>
      <w:contextualSpacing w:val="1"/>
    </w:pPr>
  </w:style>
  <w:style w:type="character" w:styleId="IntenseEmphasis">
    <w:name w:val="Intense Emphasis"/>
    <w:basedOn w:val="DefaultParagraphFont"/>
    <w:uiPriority w:val="21"/>
    <w:qFormat w:val="1"/>
    <w:rsid w:val="00791645"/>
    <w:rPr>
      <w:i w:val="1"/>
      <w:iCs w:val="1"/>
      <w:color w:val="0f4761" w:themeColor="accent1" w:themeShade="0000BF"/>
    </w:rPr>
  </w:style>
  <w:style w:type="paragraph" w:styleId="IntenseQuote">
    <w:name w:val="Intense Quote"/>
    <w:basedOn w:val="Normal"/>
    <w:next w:val="Normal"/>
    <w:link w:val="IntenseQuoteChar"/>
    <w:uiPriority w:val="30"/>
    <w:qFormat w:val="1"/>
    <w:rsid w:val="0079164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91645"/>
    <w:rPr>
      <w:i w:val="1"/>
      <w:iCs w:val="1"/>
      <w:color w:val="0f4761" w:themeColor="accent1" w:themeShade="0000BF"/>
    </w:rPr>
  </w:style>
  <w:style w:type="character" w:styleId="IntenseReference">
    <w:name w:val="Intense Reference"/>
    <w:basedOn w:val="DefaultParagraphFont"/>
    <w:uiPriority w:val="32"/>
    <w:qFormat w:val="1"/>
    <w:rsid w:val="00791645"/>
    <w:rPr>
      <w:b w:val="1"/>
      <w:bCs w:val="1"/>
      <w:smallCaps w:val="1"/>
      <w:color w:val="0f4761" w:themeColor="accent1" w:themeShade="0000BF"/>
      <w:spacing w:val="5"/>
    </w:rPr>
  </w:style>
  <w:style w:type="paragraph" w:styleId="Header">
    <w:name w:val="header"/>
    <w:basedOn w:val="Normal"/>
    <w:link w:val="HeaderChar"/>
    <w:uiPriority w:val="99"/>
    <w:unhideWhenUsed w:val="1"/>
    <w:rsid w:val="00791645"/>
    <w:pPr>
      <w:tabs>
        <w:tab w:val="center" w:pos="4680"/>
        <w:tab w:val="right" w:pos="9360"/>
      </w:tabs>
      <w:spacing w:after="0" w:line="240" w:lineRule="auto"/>
    </w:pPr>
  </w:style>
  <w:style w:type="character" w:styleId="HeaderChar" w:customStyle="1">
    <w:name w:val="Header Char"/>
    <w:basedOn w:val="DefaultParagraphFont"/>
    <w:link w:val="Header"/>
    <w:uiPriority w:val="99"/>
    <w:rsid w:val="00791645"/>
  </w:style>
  <w:style w:type="paragraph" w:styleId="Footer">
    <w:name w:val="footer"/>
    <w:basedOn w:val="Normal"/>
    <w:link w:val="FooterChar"/>
    <w:uiPriority w:val="99"/>
    <w:unhideWhenUsed w:val="1"/>
    <w:rsid w:val="007916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791645"/>
  </w:style>
  <w:style w:type="table" w:styleId="TableGrid">
    <w:name w:val="Table Grid"/>
    <w:basedOn w:val="TableNormal"/>
    <w:uiPriority w:val="39"/>
    <w:rsid w:val="00CE3CD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25Prwuogi+v+xMC3DX14qnRZA==">CgMxLjAyDmguMWZydHNtZzQ0dnY4Mg5oLm9sZWYydWhsdGRrODgAciExRVM3cF93N1hkYmllZE9jZ0xFcVFLSm9kVlRMNWszUmU=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2026-02-01T12:44:00Z</dcterms:created>
  <dc:creator>Nimra Nazim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ddbaa40b-bb06-431c-808f-d9fdfb711674</vt:lpwstr>
  </property>
</Properties>
</file>