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Rubric: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0.4669061056952"/>
        <w:gridCol w:w="2194.7255002565416"/>
        <w:gridCol w:w="1892.170343766034"/>
        <w:gridCol w:w="1690.4669061056952"/>
        <w:gridCol w:w="1892.170343766034"/>
        <w:tblGridChange w:id="0">
          <w:tblGrid>
            <w:gridCol w:w="1690.4669061056952"/>
            <w:gridCol w:w="2194.7255002565416"/>
            <w:gridCol w:w="1892.170343766034"/>
            <w:gridCol w:w="1690.4669061056952"/>
            <w:gridCol w:w="1892.170343766034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Improvement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Sentence &amp; Controlling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Clear, strong topic sentence with a specific controlling 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Topic sentence is clear but controlling idea could be more specific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Topic sentence is vague or partially related to the controlling 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Topic sentence missing or unrelated to paragraph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 or more strong supporting details/examples directly support the topic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2–3 supporting details, mostly related to the topic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1–2 supporting details, weak connection to topic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Supporting details missing or irrelevant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to Topic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All ideas clearly connected; paragraph has logical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Most ideas connected; minor lapses 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Some ideas loosely connected; flow inconsistent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Ideas disconnected; paragraph lacks logical flow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Concluding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Strong, clear conclusion that reinforces topic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Conclusion present, somewhat reinforces topic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Weak or vague conclusion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Conclusion missing or unrelated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Grammar &amp; Mechanics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Virtually no errors; sentence structure is varied and 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Few minor errors that do not affect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Several errors; sentence structure sometimes 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Many errors; sentence structure interferes with understanding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Coherence &amp;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Paragraph is well-organized, cohesive, and easy to follow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Paragraph mostly organized; minor lapses in cohesion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Paragraph partially organized; ideas sometimes 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Paragraph disorganized and hard to follow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