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Paraphrasing Rubric (Question no. 3)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Marks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8"/>
        <w:gridCol w:w="1010"/>
        <w:gridCol w:w="5812"/>
        <w:tblGridChange w:id="0">
          <w:tblGrid>
            <w:gridCol w:w="2528"/>
            <w:gridCol w:w="1010"/>
            <w:gridCol w:w="58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Accuracy of Meaning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Preserves the original ideas and key points.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Originality / Plagiarism avoided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Wording and phrasing are sufficiently different from the original.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Sentence Structure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Sentences are reorganized or restructured (combining, splitting, active/passive, logical order).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Grammar and Vocabulary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Uses correct grammar and appropriate academic vocabulary.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06C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06C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06C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06C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06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06C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06C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06C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06C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06C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06C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06C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06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06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06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06C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06C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06C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06C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06C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06CC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6809E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zYsXWSOXIfH5DgTlqtBDYRlzfA==">CgMxLjA4AHIhMXlrcGlfbDB2empDUjdUSzhrazJoeTdZejlHLS1aOC1j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2026-03-10T22:07:00Z</dcterms:created>
  <dc:creator>dell</dc:creator>
</cp:coreProperties>
</file>