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B7C" w:rsidRPr="00DD7F17" w:rsidRDefault="00576B7C" w:rsidP="00576B7C">
      <w:pPr>
        <w:rPr>
          <w:rFonts w:ascii="Calibri" w:hAnsi="Calibri" w:cs="Calibri"/>
          <w:b/>
          <w:bCs/>
          <w:color w:val="000000" w:themeColor="text1"/>
        </w:rPr>
      </w:pPr>
      <w:r w:rsidRPr="00DD7F17">
        <w:rPr>
          <w:rFonts w:ascii="Calibri" w:hAnsi="Calibri" w:cs="Calibri"/>
          <w:b/>
          <w:bCs/>
          <w:color w:val="000000" w:themeColor="text1"/>
        </w:rPr>
        <w:t>Q</w:t>
      </w:r>
      <w:r>
        <w:rPr>
          <w:rFonts w:ascii="Calibri" w:hAnsi="Calibri" w:cs="Calibri"/>
          <w:b/>
          <w:bCs/>
          <w:color w:val="000000" w:themeColor="text1"/>
        </w:rPr>
        <w:t xml:space="preserve">uestion </w:t>
      </w:r>
      <w:r w:rsidRPr="00DD7F17">
        <w:rPr>
          <w:rFonts w:ascii="Calibri" w:hAnsi="Calibri" w:cs="Calibri"/>
          <w:b/>
          <w:bCs/>
          <w:color w:val="000000" w:themeColor="text1"/>
        </w:rPr>
        <w:t>1:</w:t>
      </w:r>
      <w:r>
        <w:rPr>
          <w:rFonts w:ascii="Calibri" w:hAnsi="Calibri" w:cs="Calibri"/>
          <w:b/>
          <w:bCs/>
          <w:color w:val="000000" w:themeColor="text1"/>
        </w:rPr>
        <w:t xml:space="preserve">     </w:t>
      </w:r>
      <w:r w:rsidR="00C33961">
        <w:rPr>
          <w:rFonts w:ascii="Calibri" w:hAnsi="Calibri" w:cs="Calibri"/>
          <w:b/>
          <w:bCs/>
          <w:color w:val="000000" w:themeColor="text1"/>
        </w:rPr>
        <w:t>Solution</w:t>
      </w:r>
      <w:r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 </w:t>
      </w:r>
      <w:r w:rsidR="00211DFB">
        <w:rPr>
          <w:rFonts w:ascii="Calibri" w:hAnsi="Calibri" w:cs="Calibri"/>
          <w:b/>
          <w:bCs/>
          <w:color w:val="000000" w:themeColor="text1"/>
        </w:rPr>
        <w:t xml:space="preserve">           </w:t>
      </w:r>
      <w:proofErr w:type="gramStart"/>
      <w:r w:rsidR="00211DFB">
        <w:rPr>
          <w:rFonts w:ascii="Calibri" w:hAnsi="Calibri" w:cs="Calibri"/>
          <w:b/>
          <w:bCs/>
          <w:color w:val="000000" w:themeColor="text1"/>
        </w:rPr>
        <w:t xml:space="preserve">  </w:t>
      </w:r>
      <w:r>
        <w:rPr>
          <w:rFonts w:ascii="Calibri" w:hAnsi="Calibri" w:cs="Calibri"/>
          <w:b/>
          <w:bCs/>
          <w:color w:val="000000" w:themeColor="text1"/>
        </w:rPr>
        <w:t xml:space="preserve"> [</w:t>
      </w:r>
      <w:proofErr w:type="gramEnd"/>
      <w:r>
        <w:rPr>
          <w:rFonts w:ascii="Calibri" w:hAnsi="Calibri" w:cs="Calibri"/>
          <w:b/>
          <w:bCs/>
          <w:color w:val="000000" w:themeColor="text1"/>
        </w:rPr>
        <w:t>27 marks</w:t>
      </w:r>
      <w:r w:rsidRPr="00DD7F17">
        <w:rPr>
          <w:rFonts w:ascii="Calibri" w:hAnsi="Calibri" w:cs="Calibri"/>
          <w:b/>
          <w:bCs/>
          <w:color w:val="000000" w:themeColor="text1"/>
        </w:rPr>
        <w:t>]</w:t>
      </w:r>
    </w:p>
    <w:p w:rsidR="00576B7C" w:rsidRPr="00AD2723" w:rsidRDefault="00576B7C" w:rsidP="00576B7C">
      <w:pPr>
        <w:pStyle w:val="font-claude-response-body"/>
        <w:numPr>
          <w:ilvl w:val="0"/>
          <w:numId w:val="2"/>
        </w:numPr>
        <w:spacing w:before="0" w:beforeAutospacing="0" w:after="0" w:afterAutospacing="0"/>
      </w:pPr>
      <w:r w:rsidRPr="00AD2723">
        <w:rPr>
          <w:rStyle w:val="Strong"/>
          <w:rFonts w:eastAsiaTheme="majorEastAsia"/>
        </w:rPr>
        <w:t>Translate the following compound statement into symbolic form, then write its Contrapositive, Converse, and Inverse. Simplify each form using equivalence laws where possible.</w:t>
      </w:r>
    </w:p>
    <w:p w:rsidR="00576B7C" w:rsidRDefault="00576B7C" w:rsidP="00576B7C">
      <w:pPr>
        <w:pStyle w:val="font-claude-response-body"/>
        <w:spacing w:before="0" w:beforeAutospacing="0" w:after="0" w:afterAutospacing="0"/>
        <w:ind w:left="720"/>
      </w:pPr>
      <w:r w:rsidRPr="00AD2723">
        <w:t xml:space="preserve">"If it is raining and the wind is strong, then the flight is delayed or the passengers are redirected." </w:t>
      </w:r>
    </w:p>
    <w:p w:rsidR="00576B7C" w:rsidRPr="00AD2723" w:rsidRDefault="00576B7C" w:rsidP="00576B7C">
      <w:pPr>
        <w:pStyle w:val="font-claude-response-body"/>
        <w:spacing w:before="0" w:beforeAutospacing="0" w:after="0" w:afterAutospacing="0"/>
        <w:ind w:left="720"/>
      </w:pPr>
    </w:p>
    <w:tbl>
      <w:tblPr>
        <w:tblW w:w="9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6226"/>
      </w:tblGrid>
      <w:tr w:rsidR="00C33961" w:rsidRPr="00C33961" w:rsidTr="00C33961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Form</w:t>
            </w:r>
          </w:p>
        </w:tc>
        <w:tc>
          <w:tcPr>
            <w:tcW w:w="6181" w:type="dxa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Symbolic Expression</w:t>
            </w:r>
          </w:p>
        </w:tc>
      </w:tr>
      <w:tr w:rsidR="00C33961" w:rsidRPr="00C33961" w:rsidTr="00C3396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Original</w:t>
            </w:r>
            <w:r w:rsidRPr="00C33961">
              <w:rPr>
                <w:color w:val="C00000"/>
              </w:rPr>
              <w:t xml:space="preserve">                                             </w:t>
            </w:r>
          </w:p>
        </w:tc>
        <w:tc>
          <w:tcPr>
            <w:tcW w:w="6181" w:type="dxa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color w:val="C00000"/>
              </w:rPr>
              <w:t>(</w:t>
            </w:r>
            <w:proofErr w:type="spellStart"/>
            <w:r w:rsidRPr="00C33961">
              <w:rPr>
                <w:color w:val="C00000"/>
              </w:rPr>
              <w:t>p</w:t>
            </w:r>
            <w:r w:rsidRPr="00C33961">
              <w:rPr>
                <w:rFonts w:ascii="Cambria Math" w:hAnsi="Cambria Math" w:cs="Cambria Math"/>
                <w:color w:val="C00000"/>
              </w:rPr>
              <w:t>∧</w:t>
            </w:r>
            <w:r w:rsidRPr="00C33961">
              <w:rPr>
                <w:color w:val="C00000"/>
              </w:rPr>
              <w:t>q</w:t>
            </w:r>
            <w:proofErr w:type="spellEnd"/>
            <w:r w:rsidRPr="00C33961">
              <w:rPr>
                <w:color w:val="C00000"/>
              </w:rPr>
              <w:t>)→(</w:t>
            </w:r>
            <w:proofErr w:type="spellStart"/>
            <w:r w:rsidRPr="00C33961">
              <w:rPr>
                <w:color w:val="C00000"/>
              </w:rPr>
              <w:t>r</w:t>
            </w:r>
            <w:r w:rsidRPr="00C33961">
              <w:rPr>
                <w:rFonts w:ascii="Cambria Math" w:hAnsi="Cambria Math" w:cs="Cambria Math"/>
                <w:color w:val="C00000"/>
              </w:rPr>
              <w:t>∨</w:t>
            </w:r>
            <w:r w:rsidRPr="00C33961">
              <w:rPr>
                <w:color w:val="C00000"/>
              </w:rPr>
              <w:t>s</w:t>
            </w:r>
            <w:proofErr w:type="spellEnd"/>
            <w:r w:rsidRPr="00C33961">
              <w:rPr>
                <w:color w:val="C00000"/>
              </w:rPr>
              <w:t xml:space="preserve">)                                           </w:t>
            </w:r>
          </w:p>
        </w:tc>
      </w:tr>
      <w:tr w:rsidR="00C33961" w:rsidRPr="00C33961" w:rsidTr="00C3396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Contrapositive</w:t>
            </w:r>
          </w:p>
        </w:tc>
        <w:tc>
          <w:tcPr>
            <w:tcW w:w="6181" w:type="dxa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color w:val="C00000"/>
              </w:rPr>
              <w:t>¬(</w:t>
            </w:r>
            <w:proofErr w:type="spellStart"/>
            <w:r w:rsidRPr="00C33961">
              <w:rPr>
                <w:color w:val="C00000"/>
              </w:rPr>
              <w:t>r</w:t>
            </w:r>
            <w:r w:rsidRPr="00C33961">
              <w:rPr>
                <w:rFonts w:ascii="Cambria Math" w:hAnsi="Cambria Math" w:cs="Cambria Math"/>
                <w:color w:val="C00000"/>
              </w:rPr>
              <w:t>∨</w:t>
            </w:r>
            <w:r w:rsidRPr="00C33961">
              <w:rPr>
                <w:color w:val="C00000"/>
              </w:rPr>
              <w:t>s</w:t>
            </w:r>
            <w:proofErr w:type="spellEnd"/>
            <w:r w:rsidRPr="00C33961">
              <w:rPr>
                <w:color w:val="C00000"/>
              </w:rPr>
              <w:t>)→¬(</w:t>
            </w:r>
            <w:proofErr w:type="spellStart"/>
            <w:r w:rsidRPr="00C33961">
              <w:rPr>
                <w:color w:val="C00000"/>
              </w:rPr>
              <w:t>p</w:t>
            </w:r>
            <w:r w:rsidRPr="00C33961">
              <w:rPr>
                <w:rFonts w:ascii="Cambria Math" w:hAnsi="Cambria Math" w:cs="Cambria Math"/>
                <w:color w:val="C00000"/>
              </w:rPr>
              <w:t>∧</w:t>
            </w:r>
            <w:r w:rsidRPr="00C33961">
              <w:rPr>
                <w:color w:val="C00000"/>
              </w:rPr>
              <w:t>q</w:t>
            </w:r>
            <w:proofErr w:type="spellEnd"/>
            <w:r w:rsidRPr="00C33961">
              <w:rPr>
                <w:color w:val="C00000"/>
              </w:rPr>
              <w:t xml:space="preserve">) </w:t>
            </w:r>
          </w:p>
        </w:tc>
      </w:tr>
      <w:tr w:rsidR="00C33961" w:rsidRPr="00C33961" w:rsidTr="00C33961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Converse</w:t>
            </w:r>
          </w:p>
        </w:tc>
        <w:tc>
          <w:tcPr>
            <w:tcW w:w="6181" w:type="dxa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color w:val="C00000"/>
              </w:rPr>
              <w:t>(</w:t>
            </w:r>
            <w:proofErr w:type="spellStart"/>
            <w:r w:rsidRPr="00C33961">
              <w:rPr>
                <w:color w:val="C00000"/>
              </w:rPr>
              <w:t>r</w:t>
            </w:r>
            <w:r w:rsidRPr="00C33961">
              <w:rPr>
                <w:rFonts w:ascii="Cambria Math" w:hAnsi="Cambria Math" w:cs="Cambria Math"/>
                <w:color w:val="C00000"/>
              </w:rPr>
              <w:t>∨</w:t>
            </w:r>
            <w:r w:rsidRPr="00C33961">
              <w:rPr>
                <w:color w:val="C00000"/>
              </w:rPr>
              <w:t>s</w:t>
            </w:r>
            <w:proofErr w:type="spellEnd"/>
            <w:r w:rsidRPr="00C33961">
              <w:rPr>
                <w:color w:val="C00000"/>
              </w:rPr>
              <w:t>)→(</w:t>
            </w:r>
            <w:proofErr w:type="spellStart"/>
            <w:r w:rsidRPr="00C33961">
              <w:rPr>
                <w:color w:val="C00000"/>
              </w:rPr>
              <w:t>p</w:t>
            </w:r>
            <w:r w:rsidRPr="00C33961">
              <w:rPr>
                <w:rFonts w:ascii="Cambria Math" w:hAnsi="Cambria Math" w:cs="Cambria Math"/>
                <w:color w:val="C00000"/>
              </w:rPr>
              <w:t>∧</w:t>
            </w:r>
            <w:r w:rsidRPr="00C33961">
              <w:rPr>
                <w:color w:val="C00000"/>
              </w:rPr>
              <w:t>q</w:t>
            </w:r>
            <w:proofErr w:type="spellEnd"/>
            <w:r w:rsidRPr="00C33961">
              <w:rPr>
                <w:color w:val="C00000"/>
              </w:rPr>
              <w:t xml:space="preserve">) </w:t>
            </w:r>
          </w:p>
        </w:tc>
      </w:tr>
      <w:tr w:rsidR="00C33961" w:rsidRPr="00C33961" w:rsidTr="00C33961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Inverse</w:t>
            </w:r>
          </w:p>
        </w:tc>
        <w:tc>
          <w:tcPr>
            <w:tcW w:w="6181" w:type="dxa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color w:val="C00000"/>
              </w:rPr>
              <w:t>¬(</w:t>
            </w:r>
            <w:proofErr w:type="spellStart"/>
            <w:r w:rsidRPr="00C33961">
              <w:rPr>
                <w:color w:val="C00000"/>
              </w:rPr>
              <w:t>p</w:t>
            </w:r>
            <w:r w:rsidRPr="00C33961">
              <w:rPr>
                <w:rFonts w:ascii="Cambria Math" w:hAnsi="Cambria Math" w:cs="Cambria Math"/>
                <w:color w:val="C00000"/>
              </w:rPr>
              <w:t>∧</w:t>
            </w:r>
            <w:r w:rsidRPr="00C33961">
              <w:rPr>
                <w:color w:val="C00000"/>
              </w:rPr>
              <w:t>q</w:t>
            </w:r>
            <w:proofErr w:type="spellEnd"/>
            <w:r w:rsidRPr="00C33961">
              <w:rPr>
                <w:color w:val="C00000"/>
              </w:rPr>
              <w:t>)→¬(</w:t>
            </w:r>
            <w:proofErr w:type="spellStart"/>
            <w:r w:rsidRPr="00C33961">
              <w:rPr>
                <w:color w:val="C00000"/>
              </w:rPr>
              <w:t>r</w:t>
            </w:r>
            <w:r w:rsidRPr="00C33961">
              <w:rPr>
                <w:rFonts w:ascii="Cambria Math" w:hAnsi="Cambria Math" w:cs="Cambria Math"/>
                <w:color w:val="C00000"/>
              </w:rPr>
              <w:t>∨</w:t>
            </w:r>
            <w:r w:rsidRPr="00C33961">
              <w:rPr>
                <w:color w:val="C00000"/>
              </w:rPr>
              <w:t>s</w:t>
            </w:r>
            <w:proofErr w:type="spellEnd"/>
            <w:r w:rsidRPr="00C33961">
              <w:rPr>
                <w:color w:val="C00000"/>
              </w:rPr>
              <w:t xml:space="preserve">) </w:t>
            </w:r>
          </w:p>
        </w:tc>
      </w:tr>
    </w:tbl>
    <w:p w:rsidR="00576B7C" w:rsidRPr="00C33961" w:rsidRDefault="00576B7C" w:rsidP="00576B7C">
      <w:pPr>
        <w:pStyle w:val="font-claude-response-body"/>
        <w:spacing w:before="0" w:beforeAutospacing="0" w:after="0" w:afterAutospacing="0"/>
        <w:ind w:left="720"/>
        <w:rPr>
          <w:color w:val="C00000"/>
        </w:rPr>
      </w:pPr>
    </w:p>
    <w:p w:rsidR="00576B7C" w:rsidRDefault="00576B7C" w:rsidP="00576B7C">
      <w:pPr>
        <w:pStyle w:val="font-claude-response-body"/>
        <w:spacing w:before="0" w:beforeAutospacing="0" w:after="0" w:afterAutospacing="0"/>
        <w:ind w:left="720"/>
      </w:pPr>
    </w:p>
    <w:p w:rsidR="00576B7C" w:rsidRDefault="00576B7C" w:rsidP="00576B7C">
      <w:pPr>
        <w:pStyle w:val="font-claude-response-body"/>
        <w:numPr>
          <w:ilvl w:val="0"/>
          <w:numId w:val="2"/>
        </w:numPr>
        <w:spacing w:before="0" w:beforeAutospacing="0" w:after="0" w:afterAutospacing="0"/>
      </w:pPr>
      <w:r>
        <w:t>A hospital's emergency response system operates under the following rules. Let:</w:t>
      </w:r>
    </w:p>
    <w:p w:rsidR="00576B7C" w:rsidRDefault="00576B7C" w:rsidP="00576B7C">
      <w:pPr>
        <w:numPr>
          <w:ilvl w:val="0"/>
          <w:numId w:val="1"/>
        </w:numPr>
      </w:pPr>
      <w:r>
        <w:rPr>
          <w:rStyle w:val="Strong"/>
          <w:rFonts w:eastAsiaTheme="majorEastAsia"/>
        </w:rPr>
        <w:t>a</w:t>
      </w:r>
      <w:r>
        <w:t xml:space="preserve"> = The emergency alarm activates</w:t>
      </w:r>
    </w:p>
    <w:p w:rsidR="00576B7C" w:rsidRDefault="00576B7C" w:rsidP="00576B7C">
      <w:pPr>
        <w:numPr>
          <w:ilvl w:val="0"/>
          <w:numId w:val="1"/>
        </w:numPr>
      </w:pPr>
      <w:r>
        <w:rPr>
          <w:rStyle w:val="Strong"/>
          <w:rFonts w:eastAsiaTheme="majorEastAsia"/>
        </w:rPr>
        <w:t>d</w:t>
      </w:r>
      <w:r>
        <w:t xml:space="preserve"> = The doctor is on duty</w:t>
      </w:r>
    </w:p>
    <w:p w:rsidR="00576B7C" w:rsidRDefault="00576B7C" w:rsidP="00576B7C">
      <w:pPr>
        <w:numPr>
          <w:ilvl w:val="0"/>
          <w:numId w:val="1"/>
        </w:numPr>
      </w:pPr>
      <w:r>
        <w:rPr>
          <w:rStyle w:val="Strong"/>
          <w:rFonts w:eastAsiaTheme="majorEastAsia"/>
        </w:rPr>
        <w:t>n</w:t>
      </w:r>
      <w:r>
        <w:t xml:space="preserve"> = The nurse is available</w:t>
      </w:r>
    </w:p>
    <w:p w:rsidR="00576B7C" w:rsidRDefault="00576B7C" w:rsidP="00576B7C">
      <w:pPr>
        <w:numPr>
          <w:ilvl w:val="0"/>
          <w:numId w:val="1"/>
        </w:numPr>
      </w:pPr>
      <w:r>
        <w:rPr>
          <w:rStyle w:val="Strong"/>
          <w:rFonts w:eastAsiaTheme="majorEastAsia"/>
        </w:rPr>
        <w:t>e</w:t>
      </w:r>
      <w:r>
        <w:t xml:space="preserve"> = The emergency light turns on</w:t>
      </w:r>
    </w:p>
    <w:p w:rsidR="00576B7C" w:rsidRDefault="00576B7C" w:rsidP="00576B7C">
      <w:pPr>
        <w:numPr>
          <w:ilvl w:val="0"/>
          <w:numId w:val="1"/>
        </w:numPr>
      </w:pPr>
      <w:r>
        <w:rPr>
          <w:rStyle w:val="Strong"/>
          <w:rFonts w:eastAsiaTheme="majorEastAsia"/>
        </w:rPr>
        <w:t>r</w:t>
      </w:r>
      <w:r>
        <w:t xml:space="preserve"> = The patient receives treatment</w:t>
      </w:r>
    </w:p>
    <w:p w:rsidR="00576B7C" w:rsidRDefault="00576B7C" w:rsidP="00576B7C">
      <w:pPr>
        <w:pStyle w:val="font-claude-response-body"/>
        <w:spacing w:before="0" w:beforeAutospacing="0" w:after="0" w:afterAutospacing="0"/>
      </w:pPr>
      <w:r>
        <w:rPr>
          <w:rStyle w:val="Strong"/>
          <w:rFonts w:eastAsiaTheme="majorEastAsia"/>
        </w:rPr>
        <w:t xml:space="preserve">Given the following premises: write it in symbolic form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3"/>
        <w:gridCol w:w="7203"/>
        <w:gridCol w:w="1664"/>
      </w:tblGrid>
      <w:tr w:rsidR="00576B7C" w:rsidRPr="002E2C37" w:rsidTr="005C6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/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2C37">
              <w:t>Premise</w:t>
            </w:r>
          </w:p>
        </w:tc>
        <w:tc>
          <w:tcPr>
            <w:tcW w:w="1706" w:type="dxa"/>
            <w:hideMark/>
          </w:tcPr>
          <w:p w:rsidR="00576B7C" w:rsidRPr="002E2C37" w:rsidRDefault="00576B7C" w:rsidP="005C62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E2C37">
              <w:t>Symbolic Form</w:t>
            </w:r>
          </w:p>
        </w:tc>
      </w:tr>
      <w:tr w:rsidR="00576B7C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>
            <w:r w:rsidRPr="002E2C37">
              <w:t>P1</w:t>
            </w:r>
          </w:p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37">
              <w:t>The emergency alarm activates if and only if the doctor is on duty AND the nurse is available</w:t>
            </w:r>
          </w:p>
        </w:tc>
        <w:tc>
          <w:tcPr>
            <w:tcW w:w="1706" w:type="dxa"/>
          </w:tcPr>
          <w:p w:rsidR="00576B7C" w:rsidRPr="002E2C37" w:rsidRDefault="00C33961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  <w:r w:rsidRPr="009370E9">
              <w:t xml:space="preserve">a ↔ (d </w:t>
            </w:r>
            <w:r w:rsidRPr="009370E9">
              <w:rPr>
                <w:rFonts w:ascii="Cambria Math" w:hAnsi="Cambria Math" w:cs="Cambria Math"/>
              </w:rPr>
              <w:t>∧</w:t>
            </w:r>
            <w:r w:rsidRPr="009370E9">
              <w:t xml:space="preserve"> n)</w:t>
            </w:r>
            <w:r w:rsidRPr="009370E9">
              <w:t> </w:t>
            </w:r>
            <w:r w:rsidRPr="009370E9">
              <w:t> </w:t>
            </w:r>
            <w:r w:rsidRPr="009370E9">
              <w:t>(</w:t>
            </w:r>
          </w:p>
        </w:tc>
      </w:tr>
      <w:tr w:rsidR="00576B7C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>
            <w:r w:rsidRPr="002E2C37">
              <w:t>P2</w:t>
            </w:r>
          </w:p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37">
              <w:t>If the emergency alarm activates, then the emergency light turns on</w:t>
            </w:r>
          </w:p>
        </w:tc>
        <w:tc>
          <w:tcPr>
            <w:tcW w:w="1706" w:type="dxa"/>
          </w:tcPr>
          <w:p w:rsidR="00576B7C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  <w:p w:rsidR="00576B7C" w:rsidRPr="002E2C37" w:rsidRDefault="00C33961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  <w:r w:rsidRPr="009370E9">
              <w:t>a → e</w:t>
            </w:r>
          </w:p>
        </w:tc>
      </w:tr>
      <w:tr w:rsidR="00576B7C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>
            <w:r w:rsidRPr="002E2C37">
              <w:t>P3</w:t>
            </w:r>
          </w:p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37">
              <w:t>The doctor is on duty</w:t>
            </w:r>
          </w:p>
        </w:tc>
        <w:tc>
          <w:tcPr>
            <w:tcW w:w="1706" w:type="dxa"/>
          </w:tcPr>
          <w:p w:rsidR="00576B7C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  <w:p w:rsidR="00576B7C" w:rsidRPr="002E2C37" w:rsidRDefault="00C33961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  <w:r>
              <w:rPr>
                <w:color w:val="FFC000"/>
              </w:rPr>
              <w:t>d</w:t>
            </w:r>
          </w:p>
        </w:tc>
      </w:tr>
      <w:tr w:rsidR="00576B7C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>
            <w:r w:rsidRPr="002E2C37">
              <w:t>P4</w:t>
            </w:r>
          </w:p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37">
              <w:t>The nurse is available</w:t>
            </w:r>
          </w:p>
        </w:tc>
        <w:tc>
          <w:tcPr>
            <w:tcW w:w="1706" w:type="dxa"/>
          </w:tcPr>
          <w:p w:rsidR="00576B7C" w:rsidRDefault="00C33961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  <w:r>
              <w:rPr>
                <w:color w:val="FFC000"/>
              </w:rPr>
              <w:t>n</w:t>
            </w:r>
          </w:p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</w:tc>
      </w:tr>
      <w:tr w:rsidR="00576B7C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6B7C" w:rsidRPr="002E2C37" w:rsidRDefault="00576B7C" w:rsidP="005C62AD">
            <w:r w:rsidRPr="002E2C37">
              <w:t>P5</w:t>
            </w:r>
          </w:p>
        </w:tc>
        <w:tc>
          <w:tcPr>
            <w:tcW w:w="7696" w:type="dxa"/>
            <w:hideMark/>
          </w:tcPr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37">
              <w:t>If the emergency light turns on, then the patient receives treatment</w:t>
            </w:r>
          </w:p>
        </w:tc>
        <w:tc>
          <w:tcPr>
            <w:tcW w:w="1706" w:type="dxa"/>
          </w:tcPr>
          <w:p w:rsidR="00C33961" w:rsidRDefault="00C33961" w:rsidP="00C33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370E9">
              <w:t>e → r</w:t>
            </w:r>
          </w:p>
          <w:p w:rsidR="00576B7C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  <w:p w:rsidR="00576B7C" w:rsidRPr="002E2C37" w:rsidRDefault="00576B7C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</w:tc>
      </w:tr>
      <w:tr w:rsidR="009370E9" w:rsidRPr="002E2C37" w:rsidTr="005C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370E9" w:rsidRPr="002E2C37" w:rsidRDefault="009370E9" w:rsidP="005C62AD"/>
        </w:tc>
        <w:tc>
          <w:tcPr>
            <w:tcW w:w="7696" w:type="dxa"/>
          </w:tcPr>
          <w:p w:rsidR="009370E9" w:rsidRPr="002E2C37" w:rsidRDefault="009370E9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6" w:type="dxa"/>
          </w:tcPr>
          <w:p w:rsidR="009370E9" w:rsidRDefault="009370E9" w:rsidP="005C6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C000"/>
              </w:rPr>
            </w:pPr>
          </w:p>
        </w:tc>
      </w:tr>
    </w:tbl>
    <w:p w:rsidR="00576B7C" w:rsidRPr="007C7277" w:rsidRDefault="00576B7C" w:rsidP="00576B7C">
      <w:pPr>
        <w:pStyle w:val="font-claude-response-body"/>
        <w:rPr>
          <w:color w:val="000000" w:themeColor="text1"/>
        </w:rPr>
      </w:pPr>
      <w:r w:rsidRPr="007C7277">
        <w:rPr>
          <w:color w:val="000000" w:themeColor="text1"/>
        </w:rPr>
        <w:t xml:space="preserve">Prove that </w:t>
      </w:r>
      <w:r w:rsidRPr="007C7277">
        <w:rPr>
          <w:rStyle w:val="Emphasis"/>
          <w:rFonts w:eastAsiaTheme="majorEastAsia"/>
          <w:color w:val="000000" w:themeColor="text1"/>
        </w:rPr>
        <w:t>the patient receives treatment</w:t>
      </w:r>
      <w:r w:rsidRPr="007C7277">
        <w:rPr>
          <w:color w:val="000000" w:themeColor="text1"/>
        </w:rPr>
        <w:t xml:space="preserve"> is a valid conclusion.</w:t>
      </w:r>
    </w:p>
    <w:p w:rsidR="009370E9" w:rsidRDefault="00576B7C" w:rsidP="009370E9">
      <w:pPr>
        <w:pStyle w:val="font-claude-response-body"/>
        <w:rPr>
          <w:color w:val="000000" w:themeColor="text1"/>
        </w:rPr>
      </w:pPr>
      <w:r w:rsidRPr="007C7277">
        <w:rPr>
          <w:color w:val="000000" w:themeColor="text1"/>
        </w:rPr>
        <w:t xml:space="preserve">Construct a formal step-by-step proof that </w:t>
      </w:r>
      <w:r w:rsidRPr="007C7277">
        <w:rPr>
          <w:rStyle w:val="Strong"/>
          <w:rFonts w:eastAsiaTheme="majorEastAsia"/>
          <w:color w:val="000000" w:themeColor="text1"/>
        </w:rPr>
        <w:t xml:space="preserve">(P1 </w:t>
      </w:r>
      <w:r w:rsidRPr="007C727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7C7277">
        <w:rPr>
          <w:rStyle w:val="Strong"/>
          <w:rFonts w:eastAsiaTheme="majorEastAsia"/>
          <w:color w:val="000000" w:themeColor="text1"/>
        </w:rPr>
        <w:t xml:space="preserve"> P2 </w:t>
      </w:r>
      <w:r w:rsidRPr="007C727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7C7277">
        <w:rPr>
          <w:rStyle w:val="Strong"/>
          <w:rFonts w:eastAsiaTheme="majorEastAsia"/>
          <w:color w:val="000000" w:themeColor="text1"/>
        </w:rPr>
        <w:t xml:space="preserve"> P3 </w:t>
      </w:r>
      <w:r w:rsidRPr="007C727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7C7277">
        <w:rPr>
          <w:rStyle w:val="Strong"/>
          <w:rFonts w:eastAsiaTheme="majorEastAsia"/>
          <w:color w:val="000000" w:themeColor="text1"/>
        </w:rPr>
        <w:t xml:space="preserve"> P4 </w:t>
      </w:r>
      <w:r w:rsidRPr="007C7277">
        <w:rPr>
          <w:rStyle w:val="Strong"/>
          <w:rFonts w:ascii="Cambria Math" w:eastAsiaTheme="majorEastAsia" w:hAnsi="Cambria Math" w:cs="Cambria Math"/>
          <w:color w:val="000000" w:themeColor="text1"/>
        </w:rPr>
        <w:t>∧</w:t>
      </w:r>
      <w:r w:rsidRPr="007C7277">
        <w:rPr>
          <w:rStyle w:val="Strong"/>
          <w:rFonts w:eastAsiaTheme="majorEastAsia"/>
          <w:color w:val="000000" w:themeColor="text1"/>
        </w:rPr>
        <w:t xml:space="preserve"> P5) → r</w:t>
      </w:r>
      <w:r w:rsidRPr="007C7277">
        <w:rPr>
          <w:color w:val="000000" w:themeColor="text1"/>
        </w:rPr>
        <w:t>, Using the laws of equivalence. (5 marks)</w:t>
      </w:r>
    </w:p>
    <w:p w:rsidR="00576B7C" w:rsidRDefault="009370E9" w:rsidP="009370E9">
      <w:pPr>
        <w:pStyle w:val="font-claude-response-body"/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  <w:b/>
          <w:bCs/>
          <w:color w:val="FF0000"/>
        </w:rPr>
        <w:t xml:space="preserve"> </w:t>
      </w:r>
    </w:p>
    <w:p w:rsidR="00C33961" w:rsidRDefault="00C33961" w:rsidP="009370E9">
      <w:pPr>
        <w:pStyle w:val="font-claude-response-body"/>
        <w:rPr>
          <w:rFonts w:ascii="Calibri" w:hAnsi="Calibri" w:cs="Calibri"/>
          <w:b/>
          <w:bCs/>
          <w:color w:val="FF0000"/>
        </w:rPr>
      </w:pPr>
    </w:p>
    <w:p w:rsidR="00576B7C" w:rsidRPr="007C7277" w:rsidRDefault="00576B7C" w:rsidP="00576B7C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eastAsia="Arial"/>
          <w:color w:val="000000" w:themeColor="text1"/>
        </w:rPr>
      </w:pPr>
      <w:r w:rsidRPr="007C7277">
        <w:rPr>
          <w:rFonts w:eastAsia="Arial"/>
          <w:color w:val="000000" w:themeColor="text1"/>
        </w:rPr>
        <w:t xml:space="preserve"> A scholarship is awarded under these rules: (R1) If a student has a GPA above 3.8 AND submits an essay, they qualify for the scholarship. (R2) If a student qualifies for the scholarship, they receive a letter. (R3) A student either has a GPA above 3.8 or has work experience. (R4) The student did not receive a letter. (R5) The student submitted an essay. Therefore, the student has work experience.</w:t>
      </w:r>
    </w:p>
    <w:p w:rsidR="00576B7C" w:rsidRDefault="00576B7C" w:rsidP="00576B7C">
      <w:pPr>
        <w:spacing w:before="60" w:after="60"/>
        <w:rPr>
          <w:rFonts w:eastAsia="Arial"/>
          <w:bCs/>
          <w:color w:val="000000" w:themeColor="text1"/>
        </w:rPr>
      </w:pPr>
      <w:r w:rsidRPr="007C7277">
        <w:rPr>
          <w:rFonts w:eastAsia="Arial"/>
          <w:color w:val="000000" w:themeColor="text1"/>
        </w:rPr>
        <w:t xml:space="preserve"> </w:t>
      </w:r>
      <w:r w:rsidRPr="007C7277">
        <w:rPr>
          <w:rFonts w:eastAsia="Arial"/>
          <w:bCs/>
          <w:color w:val="000000" w:themeColor="text1"/>
        </w:rPr>
        <w:t xml:space="preserve">Let: g = GPA &gt; 3.8, e = essay submitted, q = qualifies, l = receives letter, w = work experience. a) Represent the statements in statement form. </w:t>
      </w:r>
    </w:p>
    <w:p w:rsidR="009370E9" w:rsidRDefault="009370E9" w:rsidP="00576B7C">
      <w:pPr>
        <w:spacing w:before="60" w:after="60"/>
        <w:rPr>
          <w:rFonts w:eastAsia="Arial"/>
          <w:bCs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300"/>
        <w:gridCol w:w="1455"/>
      </w:tblGrid>
      <w:tr w:rsidR="00C33961" w:rsidRPr="009370E9" w:rsidTr="00937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Rule / Statement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English Statement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Symbolic Form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If a student has a GPA above 3.8 </w:t>
            </w:r>
            <w:r w:rsidRPr="00C33961">
              <w:rPr>
                <w:b/>
                <w:bCs/>
                <w:color w:val="C00000"/>
              </w:rPr>
              <w:t>AND</w:t>
            </w:r>
            <w:r w:rsidRPr="009370E9">
              <w:rPr>
                <w:color w:val="C00000"/>
              </w:rPr>
              <w:t xml:space="preserve"> submits an essay, they qualify for the scholarship.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 xml:space="preserve">(g </w:t>
            </w:r>
            <w:r w:rsidRPr="00C33961">
              <w:rPr>
                <w:rFonts w:ascii="Cambria Math" w:hAnsi="Cambria Math" w:cs="Cambria Math"/>
                <w:b/>
                <w:bCs/>
                <w:color w:val="C00000"/>
              </w:rPr>
              <w:t>∧</w:t>
            </w:r>
            <w:r w:rsidRPr="00C33961">
              <w:rPr>
                <w:b/>
                <w:bCs/>
                <w:color w:val="C00000"/>
              </w:rPr>
              <w:t xml:space="preserve"> e) → q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If a student qualifies for the scholarship, they receive a letter.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q → l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A student either has a GPA above 3.8 </w:t>
            </w:r>
            <w:r w:rsidRPr="00C33961">
              <w:rPr>
                <w:b/>
                <w:bCs/>
                <w:color w:val="C00000"/>
              </w:rPr>
              <w:t>or</w:t>
            </w:r>
            <w:r w:rsidRPr="009370E9">
              <w:rPr>
                <w:color w:val="C00000"/>
              </w:rPr>
              <w:t xml:space="preserve"> has work experience.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 xml:space="preserve">g </w:t>
            </w:r>
            <w:r w:rsidRPr="00C33961">
              <w:rPr>
                <w:rFonts w:ascii="Cambria Math" w:hAnsi="Cambria Math" w:cs="Cambria Math"/>
                <w:b/>
                <w:bCs/>
                <w:color w:val="C00000"/>
              </w:rPr>
              <w:t>∨</w:t>
            </w:r>
            <w:r w:rsidRPr="00C33961">
              <w:rPr>
                <w:b/>
                <w:bCs/>
                <w:color w:val="C00000"/>
              </w:rPr>
              <w:t xml:space="preserve"> w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The student did </w:t>
            </w:r>
            <w:r w:rsidRPr="00C33961">
              <w:rPr>
                <w:b/>
                <w:bCs/>
                <w:color w:val="C00000"/>
              </w:rPr>
              <w:t>not</w:t>
            </w:r>
            <w:r w:rsidRPr="009370E9">
              <w:rPr>
                <w:color w:val="C00000"/>
              </w:rPr>
              <w:t xml:space="preserve"> receive a letter.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¬l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The student submitted an essay.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e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Therefore, the student has work experience.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w</w:t>
            </w:r>
          </w:p>
        </w:tc>
      </w:tr>
    </w:tbl>
    <w:p w:rsidR="009370E9" w:rsidRPr="00C33961" w:rsidRDefault="009370E9" w:rsidP="00576B7C">
      <w:pPr>
        <w:spacing w:before="60" w:after="60"/>
        <w:rPr>
          <w:rFonts w:eastAsia="Arial"/>
          <w:bCs/>
          <w:color w:val="C00000"/>
        </w:rPr>
      </w:pPr>
    </w:p>
    <w:p w:rsidR="00576B7C" w:rsidRPr="00C33961" w:rsidRDefault="009370E9" w:rsidP="009370E9">
      <w:pPr>
        <w:pStyle w:val="font-claude-response-body"/>
        <w:spacing w:before="0" w:beforeAutospacing="0" w:after="0" w:afterAutospacing="0"/>
        <w:ind w:left="360"/>
        <w:rPr>
          <w:color w:val="C00000"/>
        </w:rPr>
      </w:pPr>
      <w:r w:rsidRPr="00C33961">
        <w:rPr>
          <w:rFonts w:eastAsia="Arial"/>
          <w:bCs/>
          <w:color w:val="C00000"/>
        </w:rPr>
        <w:t>b) A</w:t>
      </w:r>
      <w:r w:rsidR="00576B7C" w:rsidRPr="00C33961">
        <w:rPr>
          <w:rFonts w:eastAsia="Arial"/>
          <w:bCs/>
          <w:color w:val="C00000"/>
        </w:rPr>
        <w:t>pply the laws of inference (Also mention the laws) to check the validity of argument. (3marks)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48"/>
        <w:gridCol w:w="3210"/>
        <w:gridCol w:w="4273"/>
      </w:tblGrid>
      <w:tr w:rsidR="00C33961" w:rsidRPr="009370E9" w:rsidTr="00937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What we know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How we know it (Reason)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Simple Explanation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Premise (R5)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Student submitted essay (given)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(g </w:t>
            </w:r>
            <w:r w:rsidRPr="009370E9">
              <w:rPr>
                <w:rFonts w:ascii="Cambria Math" w:hAnsi="Cambria Math" w:cs="Cambria Math"/>
                <w:color w:val="C00000"/>
              </w:rPr>
              <w:t>∧</w:t>
            </w:r>
            <w:r w:rsidRPr="009370E9">
              <w:rPr>
                <w:color w:val="C00000"/>
              </w:rPr>
              <w:t xml:space="preserve"> e) → q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Premise (R1)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Rule 1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g → q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From 1 and 2 (because </w:t>
            </w:r>
            <w:proofErr w:type="spellStart"/>
            <w:r w:rsidRPr="009370E9">
              <w:rPr>
                <w:color w:val="C00000"/>
              </w:rPr>
              <w:t>e</w:t>
            </w:r>
            <w:proofErr w:type="spellEnd"/>
            <w:r w:rsidRPr="009370E9">
              <w:rPr>
                <w:color w:val="C00000"/>
              </w:rPr>
              <w:t xml:space="preserve"> is true)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Since essay is submitted, if GPA is high then qualifies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q → l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Premise (R2)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Rule 2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g → l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From 3 and 4 (Hypothetical Syllogism)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If GPA high → gets letter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¬l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Premise (R4)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Student did </w:t>
            </w:r>
            <w:r w:rsidRPr="00C33961">
              <w:rPr>
                <w:b/>
                <w:bCs/>
                <w:color w:val="C00000"/>
              </w:rPr>
              <w:t>not</w:t>
            </w:r>
            <w:r w:rsidRPr="009370E9">
              <w:rPr>
                <w:color w:val="C00000"/>
              </w:rPr>
              <w:t xml:space="preserve"> get letter (given)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¬g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Modus </w:t>
            </w:r>
            <w:proofErr w:type="spellStart"/>
            <w:r w:rsidRPr="009370E9">
              <w:rPr>
                <w:color w:val="C00000"/>
              </w:rPr>
              <w:t>Tollens</w:t>
            </w:r>
            <w:proofErr w:type="spellEnd"/>
            <w:r w:rsidRPr="009370E9">
              <w:rPr>
                <w:color w:val="C00000"/>
              </w:rPr>
              <w:t xml:space="preserve"> (from 5 and 6)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If g → l and not l, then </w:t>
            </w:r>
            <w:r w:rsidRPr="00C33961">
              <w:rPr>
                <w:b/>
                <w:bCs/>
                <w:color w:val="C00000"/>
              </w:rPr>
              <w:t>not g</w:t>
            </w:r>
            <w:r w:rsidRPr="009370E9">
              <w:rPr>
                <w:color w:val="C00000"/>
              </w:rPr>
              <w:t xml:space="preserve">. So GPA is </w:t>
            </w:r>
            <w:r w:rsidRPr="00C33961">
              <w:rPr>
                <w:b/>
                <w:bCs/>
                <w:color w:val="C00000"/>
              </w:rPr>
              <w:t>not</w:t>
            </w:r>
            <w:r w:rsidRPr="009370E9">
              <w:rPr>
                <w:color w:val="C00000"/>
              </w:rPr>
              <w:t xml:space="preserve"> high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g </w:t>
            </w:r>
            <w:r w:rsidRPr="009370E9">
              <w:rPr>
                <w:rFonts w:ascii="Cambria Math" w:hAnsi="Cambria Math" w:cs="Cambria Math"/>
                <w:color w:val="C00000"/>
              </w:rPr>
              <w:t>∨</w:t>
            </w:r>
            <w:r w:rsidRPr="009370E9">
              <w:rPr>
                <w:color w:val="C00000"/>
              </w:rPr>
              <w:t xml:space="preserve"> w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Premise (R3)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Either high GPA or work experience (given)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C33961">
              <w:rPr>
                <w:b/>
                <w:bCs/>
                <w:color w:val="C00000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Disjunctive Syllogism (from 7 and 8)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 xml:space="preserve">Since not high GPA, must have </w:t>
            </w:r>
            <w:r w:rsidRPr="00C33961">
              <w:rPr>
                <w:b/>
                <w:bCs/>
                <w:color w:val="C00000"/>
              </w:rPr>
              <w:t>work experience</w:t>
            </w:r>
          </w:p>
        </w:tc>
      </w:tr>
    </w:tbl>
    <w:p w:rsidR="009370E9" w:rsidRPr="007C7277" w:rsidRDefault="009370E9" w:rsidP="009370E9">
      <w:pPr>
        <w:pStyle w:val="font-claude-response-body"/>
        <w:spacing w:before="0" w:beforeAutospacing="0" w:after="0" w:afterAutospacing="0"/>
        <w:rPr>
          <w:color w:val="000000" w:themeColor="text1"/>
        </w:rPr>
      </w:pPr>
    </w:p>
    <w:p w:rsidR="00576B7C" w:rsidRPr="005D1B4C" w:rsidRDefault="00576B7C" w:rsidP="00576B7C">
      <w:pPr>
        <w:pStyle w:val="ListParagraph"/>
        <w:numPr>
          <w:ilvl w:val="0"/>
          <w:numId w:val="2"/>
        </w:numPr>
        <w:spacing w:before="100" w:beforeAutospacing="1" w:after="100" w:afterAutospacing="1"/>
      </w:pPr>
      <w:r w:rsidRPr="005D1B4C">
        <w:lastRenderedPageBreak/>
        <w:t>You meet two people, A and B. One is a knight (always tells the truth) and one is a knave (always lies).</w:t>
      </w:r>
      <w:r>
        <w:t xml:space="preserve"> (5 marks)</w:t>
      </w:r>
    </w:p>
    <w:p w:rsidR="00576B7C" w:rsidRPr="005D1B4C" w:rsidRDefault="00576B7C" w:rsidP="00576B7C">
      <w:pPr>
        <w:spacing w:before="100" w:beforeAutospacing="1" w:after="100" w:afterAutospacing="1"/>
      </w:pPr>
      <w:r w:rsidRPr="005D1B4C">
        <w:t>A says: “B is a knight.”</w:t>
      </w:r>
    </w:p>
    <w:p w:rsidR="00576B7C" w:rsidRPr="005D1B4C" w:rsidRDefault="00576B7C" w:rsidP="00576B7C">
      <w:pPr>
        <w:spacing w:before="100" w:beforeAutospacing="1" w:after="100" w:afterAutospacing="1"/>
      </w:pPr>
      <w:r w:rsidRPr="005D1B4C">
        <w:t>B says: “A is a knave.”</w:t>
      </w:r>
    </w:p>
    <w:p w:rsidR="00576B7C" w:rsidRDefault="00576B7C" w:rsidP="00576B7C">
      <w:pPr>
        <w:spacing w:before="100" w:beforeAutospacing="1" w:after="100" w:afterAutospacing="1"/>
      </w:pPr>
      <w:r w:rsidRPr="005D1B4C">
        <w:rPr>
          <w:b/>
          <w:bCs/>
        </w:rPr>
        <w:t>Question:</w:t>
      </w:r>
      <w:r w:rsidRPr="005D1B4C">
        <w:t xml:space="preserve"> Which one is the knight and which one is the knave?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47"/>
        <w:gridCol w:w="2010"/>
        <w:gridCol w:w="1905"/>
        <w:gridCol w:w="1984"/>
        <w:gridCol w:w="1942"/>
      </w:tblGrid>
      <w:tr w:rsidR="00C33961" w:rsidRPr="009370E9" w:rsidTr="00937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A's Statement "B is knight"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Consistent with A's type?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B's Statement "A is knave"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jc w:val="center"/>
              <w:rPr>
                <w:b/>
                <w:bCs/>
                <w:color w:val="C00000"/>
              </w:rPr>
            </w:pPr>
            <w:r w:rsidRPr="009370E9">
              <w:rPr>
                <w:b/>
                <w:bCs/>
                <w:color w:val="C00000"/>
              </w:rPr>
              <w:t>Consistent with B's type?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True (B knight)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False (A is not knave)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No (Knight would say true)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Knave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False (B not knight)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Yes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Knave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Knight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True (B knight)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No (Knave can't say true)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No</w:t>
            </w:r>
          </w:p>
        </w:tc>
      </w:tr>
      <w:tr w:rsidR="00C33961" w:rsidRPr="009370E9" w:rsidTr="009370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Knave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Knave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370E9" w:rsidRPr="009370E9" w:rsidRDefault="009370E9" w:rsidP="009370E9">
            <w:pPr>
              <w:rPr>
                <w:color w:val="C00000"/>
              </w:rPr>
            </w:pPr>
            <w:r w:rsidRPr="009370E9">
              <w:rPr>
                <w:color w:val="C00000"/>
              </w:rPr>
              <w:t>No</w:t>
            </w:r>
          </w:p>
        </w:tc>
      </w:tr>
    </w:tbl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color w:val="C00000"/>
        </w:rPr>
        <w:t>It is impossible to determine because the statements lead to a contradiction. Neither configuration (A knight/B knave or A knave/B knight) is consistent with the rules of knights and knaves.</w:t>
      </w:r>
    </w:p>
    <w:p w:rsidR="00576B7C" w:rsidRPr="00AD2723" w:rsidRDefault="00576B7C" w:rsidP="00576B7C">
      <w:pPr>
        <w:pStyle w:val="font-claude-response-body"/>
        <w:numPr>
          <w:ilvl w:val="0"/>
          <w:numId w:val="2"/>
        </w:numPr>
        <w:spacing w:before="0" w:beforeAutospacing="0" w:after="0" w:afterAutospacing="0"/>
      </w:pPr>
      <w:bookmarkStart w:id="0" w:name="_GoBack"/>
      <w:bookmarkEnd w:id="0"/>
      <w:r w:rsidRPr="00AD2723">
        <w:t xml:space="preserve">Simplify the following expression completely using equivalence laws. Name every law at each step: </w:t>
      </w:r>
    </w:p>
    <w:p w:rsidR="00576B7C" w:rsidRPr="00DD7F17" w:rsidRDefault="00576B7C" w:rsidP="00576B7C">
      <w:pPr>
        <w:pStyle w:val="ListParagraph"/>
        <w:spacing w:beforeAutospacing="1" w:afterAutospacing="1"/>
        <w:ind w:right="720"/>
        <w:rPr>
          <w:rFonts w:ascii="Calibri" w:hAnsi="Calibri" w:cs="Calibri"/>
          <w:b/>
          <w:bCs/>
          <w:color w:val="000000" w:themeColor="text1"/>
        </w:rPr>
      </w:pPr>
      <w:r w:rsidRPr="00AD2723">
        <w:rPr>
          <w:rFonts w:ascii="Times New Roman" w:hAnsi="Times New Roman" w:cs="Times New Roman"/>
          <w:sz w:val="24"/>
          <w:szCs w:val="24"/>
        </w:rPr>
        <w:t xml:space="preserve">¬ (p → q) </w:t>
      </w:r>
      <w:r w:rsidRPr="00AD2723">
        <w:rPr>
          <w:rFonts w:ascii="Cambria Math" w:hAnsi="Cambria Math" w:cs="Cambria Math"/>
          <w:sz w:val="24"/>
          <w:szCs w:val="24"/>
        </w:rPr>
        <w:t>∨</w:t>
      </w:r>
      <w:r w:rsidRPr="00AD2723">
        <w:rPr>
          <w:rFonts w:ascii="Times New Roman" w:hAnsi="Times New Roman" w:cs="Times New Roman"/>
          <w:sz w:val="24"/>
          <w:szCs w:val="24"/>
        </w:rPr>
        <w:t xml:space="preserve"> (¬p </w:t>
      </w:r>
      <w:r w:rsidRPr="00AD2723">
        <w:rPr>
          <w:rFonts w:ascii="Cambria Math" w:hAnsi="Cambria Math" w:cs="Cambria Math"/>
          <w:sz w:val="24"/>
          <w:szCs w:val="24"/>
        </w:rPr>
        <w:t>∧</w:t>
      </w:r>
      <w:r w:rsidRPr="00AD2723">
        <w:rPr>
          <w:rFonts w:ascii="Times New Roman" w:hAnsi="Times New Roman" w:cs="Times New Roman"/>
          <w:sz w:val="24"/>
          <w:szCs w:val="24"/>
        </w:rPr>
        <w:t xml:space="preserve"> q) </w:t>
      </w:r>
      <w:r w:rsidRPr="00AD2723">
        <w:rPr>
          <w:rFonts w:ascii="Cambria Math" w:hAnsi="Cambria Math" w:cs="Cambria Math"/>
          <w:sz w:val="24"/>
          <w:szCs w:val="24"/>
        </w:rPr>
        <w:t>∨</w:t>
      </w:r>
      <w:r w:rsidRPr="00AD2723">
        <w:rPr>
          <w:rFonts w:ascii="Times New Roman" w:hAnsi="Times New Roman" w:cs="Times New Roman"/>
          <w:sz w:val="24"/>
          <w:szCs w:val="24"/>
        </w:rPr>
        <w:t xml:space="preserve"> (p </w:t>
      </w:r>
      <w:r w:rsidRPr="00AD2723">
        <w:rPr>
          <w:rFonts w:ascii="Cambria Math" w:hAnsi="Cambria Math" w:cs="Cambria Math"/>
          <w:sz w:val="24"/>
          <w:szCs w:val="24"/>
        </w:rPr>
        <w:t>∧</w:t>
      </w:r>
      <w:r w:rsidRPr="00AD2723">
        <w:rPr>
          <w:rFonts w:ascii="Times New Roman" w:hAnsi="Times New Roman" w:cs="Times New Roman"/>
          <w:sz w:val="24"/>
          <w:szCs w:val="24"/>
        </w:rPr>
        <w:t xml:space="preserve"> q)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Step-by-Step Simplification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>Original Expression:</w:t>
      </w:r>
      <w:r w:rsidRPr="00C33961">
        <w:rPr>
          <w:color w:val="C00000"/>
        </w:rPr>
        <w:t xml:space="preserve"> </w:t>
      </w:r>
      <w:proofErr w:type="gramStart"/>
      <w:r w:rsidRPr="00C33961">
        <w:rPr>
          <w:color w:val="C00000"/>
        </w:rPr>
        <w:t>¬(</w:t>
      </w:r>
      <w:proofErr w:type="gramEnd"/>
      <w:r w:rsidRPr="00C33961">
        <w:rPr>
          <w:color w:val="C00000"/>
        </w:rPr>
        <w:t xml:space="preserve">p → q)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(¬p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q)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(p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q)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1</w:t>
      </w:r>
      <w:r w:rsidRPr="00C33961">
        <w:rPr>
          <w:color w:val="C00000"/>
        </w:rPr>
        <w:t xml:space="preserve"> Replace </w:t>
      </w:r>
      <w:proofErr w:type="gramStart"/>
      <w:r w:rsidRPr="00C33961">
        <w:rPr>
          <w:color w:val="C00000"/>
        </w:rPr>
        <w:t>¬(</w:t>
      </w:r>
      <w:proofErr w:type="gramEnd"/>
      <w:r w:rsidRPr="00C33961">
        <w:rPr>
          <w:color w:val="C00000"/>
        </w:rPr>
        <w:t xml:space="preserve">p → q) with its equivalent </w:t>
      </w:r>
      <w:r w:rsidRPr="00C33961">
        <w:rPr>
          <w:rStyle w:val="Strong"/>
          <w:color w:val="C00000"/>
        </w:rPr>
        <w:t>Law:</w:t>
      </w:r>
      <w:r w:rsidRPr="00C33961">
        <w:rPr>
          <w:color w:val="C00000"/>
        </w:rPr>
        <w:t xml:space="preserve"> Negation of Implication </w:t>
      </w:r>
      <w:r w:rsidRPr="00C33961">
        <w:rPr>
          <w:rStyle w:val="Strong"/>
          <w:color w:val="C00000"/>
        </w:rPr>
        <w:t>Reason:</w:t>
      </w:r>
      <w:r w:rsidRPr="00C33961">
        <w:rPr>
          <w:color w:val="C00000"/>
        </w:rPr>
        <w:t xml:space="preserve"> p → q ≡ ¬p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q, therefore ¬(p → q) ≡ p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¬q 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(¬p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q)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2</w:t>
      </w:r>
      <w:r w:rsidRPr="00C33961">
        <w:rPr>
          <w:color w:val="C00000"/>
        </w:rPr>
        <w:t xml:space="preserve"> Group the last two terms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[(¬p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q)]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>Law:</w:t>
      </w:r>
      <w:r w:rsidRPr="00C33961">
        <w:rPr>
          <w:color w:val="C00000"/>
        </w:rPr>
        <w:t xml:space="preserve"> Distributive Law 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Reason:</w:t>
      </w:r>
      <w:r w:rsidRPr="00C33961">
        <w:rPr>
          <w:color w:val="C00000"/>
        </w:rPr>
        <w:t xml:space="preserve"> Factor out q from the second and third terms 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[(¬p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p)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q]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3</w:t>
      </w:r>
      <w:r w:rsidRPr="00C33961">
        <w:rPr>
          <w:color w:val="C00000"/>
        </w:rPr>
        <w:t xml:space="preserve"> Simplify inside the brackets ¬p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p ≡ </w:t>
      </w:r>
      <w:r w:rsidRPr="00C33961">
        <w:rPr>
          <w:rStyle w:val="Strong"/>
          <w:color w:val="C00000"/>
        </w:rPr>
        <w:t>T</w:t>
      </w:r>
      <w:r w:rsidRPr="00C33961">
        <w:rPr>
          <w:color w:val="C00000"/>
        </w:rPr>
        <w:t xml:space="preserve"> 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(T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q)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lastRenderedPageBreak/>
        <w:t>Step 4</w:t>
      </w:r>
      <w:r w:rsidRPr="00C33961">
        <w:rPr>
          <w:color w:val="C00000"/>
        </w:rPr>
        <w:t xml:space="preserve"> Simplify T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q T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q ≡ </w:t>
      </w:r>
      <w:r w:rsidRPr="00C33961">
        <w:rPr>
          <w:rStyle w:val="Strong"/>
          <w:color w:val="C00000"/>
        </w:rPr>
        <w:t>q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>Law:</w:t>
      </w:r>
      <w:r w:rsidRPr="00C33961">
        <w:rPr>
          <w:color w:val="C00000"/>
        </w:rPr>
        <w:t xml:space="preserve"> Identity Law (for conjunction) 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5</w:t>
      </w:r>
      <w:r w:rsidRPr="00C33961">
        <w:rPr>
          <w:color w:val="C00000"/>
        </w:rPr>
        <w:t xml:space="preserve"> Rewrite using distribution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¬q)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 ≡ (p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q)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(¬q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q)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>Law:</w:t>
      </w:r>
      <w:r w:rsidRPr="00C33961">
        <w:rPr>
          <w:color w:val="C00000"/>
        </w:rPr>
        <w:t xml:space="preserve"> Distributive Law </w:t>
      </w: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q)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(¬q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q)</w:t>
      </w:r>
    </w:p>
    <w:p w:rsidR="00C33961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6</w:t>
      </w:r>
      <w:r w:rsidRPr="00C33961">
        <w:rPr>
          <w:color w:val="C00000"/>
        </w:rPr>
        <w:t xml:space="preserve"> ¬q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q ≡ </w:t>
      </w:r>
      <w:r w:rsidRPr="00C33961">
        <w:rPr>
          <w:rStyle w:val="Strong"/>
          <w:color w:val="C00000"/>
        </w:rPr>
        <w:t>T</w:t>
      </w:r>
      <w:r w:rsidRPr="00C33961">
        <w:rPr>
          <w:color w:val="C00000"/>
        </w:rPr>
        <w:t xml:space="preserve"> 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Result:</w:t>
      </w:r>
      <w:r w:rsidRPr="00C33961">
        <w:rPr>
          <w:color w:val="C00000"/>
        </w:rPr>
        <w:t xml:space="preserve"> </w:t>
      </w:r>
      <w:r w:rsidRPr="00C33961">
        <w:rPr>
          <w:rStyle w:val="Strong"/>
          <w:color w:val="C00000"/>
        </w:rPr>
        <w:t xml:space="preserve">(p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q) </w:t>
      </w:r>
      <w:r w:rsidRPr="00C33961">
        <w:rPr>
          <w:rStyle w:val="Strong"/>
          <w:rFonts w:ascii="Cambria Math" w:hAnsi="Cambria Math" w:cs="Cambria Math"/>
          <w:color w:val="C00000"/>
        </w:rPr>
        <w:t>∧</w:t>
      </w:r>
      <w:r w:rsidRPr="00C33961">
        <w:rPr>
          <w:rStyle w:val="Strong"/>
          <w:color w:val="C00000"/>
        </w:rPr>
        <w:t xml:space="preserve"> T</w:t>
      </w:r>
    </w:p>
    <w:p w:rsidR="009370E9" w:rsidRPr="00C33961" w:rsidRDefault="009370E9" w:rsidP="009370E9">
      <w:pPr>
        <w:pStyle w:val="NormalWeb"/>
        <w:rPr>
          <w:color w:val="C00000"/>
        </w:rPr>
      </w:pPr>
      <w:r w:rsidRPr="00C33961">
        <w:rPr>
          <w:rStyle w:val="Strong"/>
          <w:color w:val="C00000"/>
        </w:rPr>
        <w:t>Step 7</w:t>
      </w:r>
      <w:r w:rsidRPr="00C33961">
        <w:rPr>
          <w:color w:val="C00000"/>
        </w:rPr>
        <w:t xml:space="preserve"> (p </w:t>
      </w:r>
      <w:r w:rsidRPr="00C33961">
        <w:rPr>
          <w:rFonts w:ascii="Cambria Math" w:hAnsi="Cambria Math" w:cs="Cambria Math"/>
          <w:color w:val="C00000"/>
        </w:rPr>
        <w:t>∨</w:t>
      </w:r>
      <w:r w:rsidRPr="00C33961">
        <w:rPr>
          <w:color w:val="C00000"/>
        </w:rPr>
        <w:t xml:space="preserve"> q) </w:t>
      </w:r>
      <w:r w:rsidRPr="00C33961">
        <w:rPr>
          <w:rFonts w:ascii="Cambria Math" w:hAnsi="Cambria Math" w:cs="Cambria Math"/>
          <w:color w:val="C00000"/>
        </w:rPr>
        <w:t>∧</w:t>
      </w:r>
      <w:r w:rsidRPr="00C33961">
        <w:rPr>
          <w:color w:val="C00000"/>
        </w:rPr>
        <w:t xml:space="preserve"> T ≡ </w:t>
      </w:r>
      <w:r w:rsidRPr="00C33961">
        <w:rPr>
          <w:rStyle w:val="Strong"/>
          <w:color w:val="C00000"/>
        </w:rPr>
        <w:t xml:space="preserve">p </w:t>
      </w:r>
      <w:r w:rsidRPr="00C33961">
        <w:rPr>
          <w:rStyle w:val="Strong"/>
          <w:rFonts w:ascii="Cambria Math" w:hAnsi="Cambria Math" w:cs="Cambria Math"/>
          <w:color w:val="C00000"/>
        </w:rPr>
        <w:t>∨</w:t>
      </w:r>
      <w:r w:rsidRPr="00C33961">
        <w:rPr>
          <w:rStyle w:val="Strong"/>
          <w:color w:val="C00000"/>
        </w:rPr>
        <w:t xml:space="preserve"> q</w:t>
      </w:r>
      <w:r w:rsidRPr="00C33961">
        <w:rPr>
          <w:color w:val="C00000"/>
        </w:rPr>
        <w:t xml:space="preserve"> </w:t>
      </w:r>
      <w:r w:rsidR="00C33961" w:rsidRPr="00C33961">
        <w:rPr>
          <w:color w:val="C00000"/>
        </w:rPr>
        <w:t xml:space="preserve">   </w:t>
      </w:r>
      <w:r w:rsidRPr="00C33961">
        <w:rPr>
          <w:rStyle w:val="Strong"/>
          <w:color w:val="C00000"/>
        </w:rPr>
        <w:t>Law:</w:t>
      </w:r>
      <w:r w:rsidRPr="00C33961">
        <w:rPr>
          <w:color w:val="C00000"/>
        </w:rPr>
        <w:t xml:space="preserve"> Identity Law (for conjunction)</w:t>
      </w:r>
    </w:p>
    <w:p w:rsidR="0034083A" w:rsidRPr="00C33961" w:rsidRDefault="0034083A">
      <w:pPr>
        <w:rPr>
          <w:color w:val="C00000"/>
        </w:rPr>
      </w:pPr>
    </w:p>
    <w:sectPr w:rsidR="0034083A" w:rsidRPr="00C33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8078D"/>
    <w:multiLevelType w:val="multilevel"/>
    <w:tmpl w:val="D64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4DB5"/>
    <w:multiLevelType w:val="hybridMultilevel"/>
    <w:tmpl w:val="FED852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B7C"/>
    <w:rsid w:val="00211DFB"/>
    <w:rsid w:val="0034083A"/>
    <w:rsid w:val="003521DA"/>
    <w:rsid w:val="00576B7C"/>
    <w:rsid w:val="009370E9"/>
    <w:rsid w:val="00C3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E217"/>
  <w15:chartTrackingRefBased/>
  <w15:docId w15:val="{092DE829-BFBF-4D2D-8665-8F4DBAE2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B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B7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rsid w:val="00576B7C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576B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76B7C"/>
    <w:rPr>
      <w:b/>
      <w:bCs/>
    </w:rPr>
  </w:style>
  <w:style w:type="character" w:styleId="Emphasis">
    <w:name w:val="Emphasis"/>
    <w:basedOn w:val="DefaultParagraphFont"/>
    <w:uiPriority w:val="20"/>
    <w:qFormat/>
    <w:rsid w:val="00576B7C"/>
    <w:rPr>
      <w:i/>
      <w:iCs/>
    </w:rPr>
  </w:style>
  <w:style w:type="table" w:styleId="GridTable1Light">
    <w:name w:val="Grid Table 1 Light"/>
    <w:basedOn w:val="TableNormal"/>
    <w:uiPriority w:val="46"/>
    <w:rsid w:val="00576B7C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DefaultParagraphFont"/>
    <w:rsid w:val="009370E9"/>
  </w:style>
  <w:style w:type="character" w:customStyle="1" w:styleId="mopen">
    <w:name w:val="mopen"/>
    <w:basedOn w:val="DefaultParagraphFont"/>
    <w:rsid w:val="009370E9"/>
  </w:style>
  <w:style w:type="character" w:customStyle="1" w:styleId="mord">
    <w:name w:val="mord"/>
    <w:basedOn w:val="DefaultParagraphFont"/>
    <w:rsid w:val="009370E9"/>
  </w:style>
  <w:style w:type="character" w:customStyle="1" w:styleId="mbin">
    <w:name w:val="mbin"/>
    <w:basedOn w:val="DefaultParagraphFont"/>
    <w:rsid w:val="009370E9"/>
  </w:style>
  <w:style w:type="character" w:customStyle="1" w:styleId="mclose">
    <w:name w:val="mclose"/>
    <w:basedOn w:val="DefaultParagraphFont"/>
    <w:rsid w:val="009370E9"/>
  </w:style>
  <w:style w:type="character" w:customStyle="1" w:styleId="mrel">
    <w:name w:val="mrel"/>
    <w:basedOn w:val="DefaultParagraphFont"/>
    <w:rsid w:val="009370E9"/>
  </w:style>
  <w:style w:type="paragraph" w:styleId="NormalWeb">
    <w:name w:val="Normal (Web)"/>
    <w:basedOn w:val="Normal"/>
    <w:uiPriority w:val="99"/>
    <w:semiHidden/>
    <w:unhideWhenUsed/>
    <w:rsid w:val="009370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2026-04-07T04:13:00Z</dcterms:created>
  <dcterms:modified xsi:type="dcterms:W3CDTF">2026-04-07T04:44:00Z</dcterms:modified>
</cp:coreProperties>
</file>