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汉客松 S1 &amp; ETH Wuhan 2026｜选手手册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最后更新时间：2026 年 </w:t>
      </w:r>
      <w:r>
        <w:rPr>
          <w:rFonts w:eastAsia="等线" w:ascii="Arial" w:cs="Arial" w:hAnsi="Arial"/>
          <w:b w:val="true"/>
          <w:sz w:val="22"/>
        </w:rPr>
        <w:t>10</w:t>
      </w:r>
      <w:r>
        <w:rPr>
          <w:rFonts w:eastAsia="等线" w:ascii="Arial" w:cs="Arial" w:hAnsi="Arial"/>
          <w:b w:val="true"/>
          <w:sz w:val="22"/>
        </w:rPr>
        <w:t xml:space="preserve"> 月 </w:t>
      </w:r>
      <w:r>
        <w:rPr>
          <w:rFonts w:eastAsia="等线" w:ascii="Arial" w:cs="Arial" w:hAnsi="Arial"/>
          <w:b w:val="true"/>
          <w:sz w:val="22"/>
        </w:rPr>
        <w:t>5</w:t>
      </w:r>
      <w:r>
        <w:rPr>
          <w:rFonts w:eastAsia="等线" w:ascii="Arial" w:cs="Arial" w:hAnsi="Arial"/>
          <w:b w:val="true"/>
          <w:sz w:val="22"/>
        </w:rPr>
        <w:t xml:space="preserve"> 日（北京时间）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</w:t>
      </w:r>
      <w:r>
        <w:rPr>
          <w:rFonts w:eastAsia="等线" w:ascii="Arial" w:cs="Arial" w:hAnsi="Arial"/>
          <w:b w:val="true"/>
          <w:sz w:val="22"/>
        </w:rPr>
        <w:t>对于来自湖北省外的朋友们，我们将拿出不低于 10 个蓝盒子枕头或床垫，作为大家的差旅补贴，我们之后会发放路费收集问卷，按金额从上往下发放，发完为止。补贴在比赛结束后现场领取！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新增：10 月 7 日 ETH Wuhan 两场 Workshop 的时间及 Google Meet 参会入口，详见「3.1 日程与现场活动」中的「ETH Wuhan Workshop 参会信息」。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日程如有调整，将同步更新本手册及上述时间，并在选手群通知。请以本手册最新版本为准。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作品提交截止倒计时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[Timer - 2026-10-08 12:00]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欢迎来到 </w:t>
            </w:r>
            <w:r>
              <w:rPr>
                <w:rFonts w:eastAsia="等线" w:ascii="Arial" w:cs="Arial" w:hAnsi="Arial"/>
                <w:b w:val="true"/>
                <w:sz w:val="22"/>
              </w:rPr>
              <w:t>汉客松 S1 &amp; ETH Wuhan 2026</w:t>
            </w:r>
            <w:r>
              <w:rPr>
                <w:rFonts w:eastAsia="等线" w:ascii="Arial" w:cs="Arial" w:hAnsi="Arial"/>
                <w:sz w:val="22"/>
              </w:rPr>
              <w:t>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本次主题聚焦 </w:t>
            </w:r>
            <w:r>
              <w:rPr>
                <w:rFonts w:eastAsia="等线" w:ascii="Arial" w:cs="Arial" w:hAnsi="Arial"/>
                <w:b w:val="true"/>
                <w:sz w:val="22"/>
              </w:rPr>
              <w:t>AI × Blockchain</w:t>
            </w:r>
            <w:r>
              <w:rPr>
                <w:rFonts w:eastAsia="等线" w:ascii="Arial" w:cs="Arial" w:hAnsi="Arial"/>
                <w:sz w:val="22"/>
              </w:rPr>
              <w:t xml:space="preserve">，设 </w:t>
            </w:r>
            <w:r>
              <w:rPr>
                <w:rFonts w:eastAsia="等线" w:ascii="Arial" w:cs="Arial" w:hAnsi="Arial"/>
                <w:b w:val="true"/>
                <w:sz w:val="22"/>
              </w:rPr>
              <w:t>公共物品（Public Good）</w:t>
            </w:r>
            <w:r>
              <w:rPr>
                <w:rFonts w:eastAsia="等线" w:ascii="Arial" w:cs="Arial" w:hAnsi="Arial"/>
                <w:sz w:val="22"/>
              </w:rPr>
              <w:t xml:space="preserve">和 </w:t>
            </w:r>
            <w:r>
              <w:rPr>
                <w:rFonts w:eastAsia="等线" w:ascii="Arial" w:cs="Arial" w:hAnsi="Arial"/>
                <w:b w:val="true"/>
                <w:sz w:val="22"/>
              </w:rPr>
              <w:t>BOT Chain BUILD BEYOND 2026</w:t>
            </w:r>
            <w:r>
              <w:rPr>
                <w:rFonts w:eastAsia="等线" w:ascii="Arial" w:cs="Arial" w:hAnsi="Arial"/>
                <w:sz w:val="22"/>
              </w:rPr>
              <w:t xml:space="preserve"> 分赛道。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比赛于 </w:t>
            </w:r>
            <w:r>
              <w:rPr>
                <w:rFonts w:eastAsia="等线" w:ascii="Arial" w:cs="Arial" w:hAnsi="Arial"/>
                <w:b w:val="true"/>
                <w:sz w:val="22"/>
              </w:rPr>
              <w:t>2026年10月6日–10月8日</w:t>
            </w:r>
            <w:r>
              <w:rPr>
                <w:rFonts w:eastAsia="等线" w:ascii="Arial" w:cs="Arial" w:hAnsi="Arial"/>
                <w:sz w:val="22"/>
              </w:rPr>
              <w:t xml:space="preserve"> 在 </w:t>
            </w:r>
            <w:r>
              <w:rPr>
                <w:rFonts w:eastAsia="等线" w:ascii="Arial" w:cs="Arial" w:hAnsi="Arial"/>
                <w:b w:val="true"/>
                <w:sz w:val="22"/>
              </w:rPr>
              <w:t>武汉市东西湖区网安大道77号网安软件园二期</w:t>
            </w:r>
            <w:r>
              <w:rPr>
                <w:rFonts w:eastAsia="等线" w:ascii="Arial" w:cs="Arial" w:hAnsi="Arial"/>
                <w:sz w:val="22"/>
              </w:rPr>
              <w:t xml:space="preserve"> 举办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我们希望通过这份指南，帮助同学们提前了解参赛安排、熟悉比赛流程，顺利开启这趟武汉之行。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也期待大家在赛场上尽情探索、放手创造，遇见志同道合的伙伴，一起完成一段难忘的参赛经历。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咱们武汉见！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合作联系：</w:t>
            </w:r>
            <w:r>
              <w:rPr>
                <w:rFonts w:eastAsia="等线" w:ascii="Arial" w:cs="Arial" w:hAnsi="Arial"/>
                <w:sz w:val="22"/>
              </w:rPr>
              <w:t>cnhuayiming@gmail.com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基本信息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赛事介绍：</w:t>
      </w:r>
      <w:r>
        <w:rPr>
          <w:rFonts w:eastAsia="等线" w:ascii="Arial" w:cs="Arial" w:hAnsi="Arial"/>
          <w:sz w:val="22"/>
        </w:rPr>
        <w:t>汉客松 S1 &amp; ETH Wuhan 2026 是“汉客松”首场赛事，为期三天两夜，面向关注 AI、Blockchain、产品开发与网络安全的参与者。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本场赛道：</w:t>
      </w:r>
      <w:r>
        <w:rPr>
          <w:rFonts w:eastAsia="等线" w:ascii="Arial" w:cs="Arial" w:hAnsi="Arial"/>
          <w:sz w:val="22"/>
        </w:rPr>
        <w:t xml:space="preserve">主赛道 </w:t>
      </w:r>
      <w:r>
        <w:rPr>
          <w:rFonts w:eastAsia="等线" w:ascii="Arial" w:cs="Arial" w:hAnsi="Arial"/>
          <w:b w:val="true"/>
          <w:sz w:val="22"/>
        </w:rPr>
        <w:t>AI × Blockchain</w:t>
      </w:r>
      <w:r>
        <w:rPr>
          <w:rFonts w:eastAsia="等线" w:ascii="Arial" w:cs="Arial" w:hAnsi="Arial"/>
          <w:sz w:val="22"/>
        </w:rPr>
        <w:t xml:space="preserve">，探索人工智能与区块链结合的创新应用；分赛道为 </w:t>
      </w:r>
      <w:r>
        <w:rPr>
          <w:rFonts w:eastAsia="等线" w:ascii="Arial" w:cs="Arial" w:hAnsi="Arial"/>
          <w:b w:val="true"/>
          <w:sz w:val="22"/>
        </w:rPr>
        <w:t>公共物品（Public Good）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BOT Chain BUILD BEYOND 2026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时间地点：2026年10月6日–10月8日</w:t>
      </w:r>
      <w:r>
        <w:rPr>
          <w:rFonts w:eastAsia="等线" w:ascii="Arial" w:cs="Arial" w:hAnsi="Arial"/>
          <w:sz w:val="22"/>
        </w:rPr>
        <w:t xml:space="preserve">（三天两晚），地点 </w:t>
      </w:r>
      <w:r>
        <w:rPr>
          <w:rFonts w:eastAsia="等线" w:ascii="Arial" w:cs="Arial" w:hAnsi="Arial"/>
          <w:b w:val="true"/>
          <w:sz w:val="22"/>
        </w:rPr>
        <w:t>武汉市东西湖区网安大道77号网安软件园二期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组队规则：每队 1–5 人，允许个人参赛。</w:t>
      </w:r>
      <w:r>
        <w:rPr>
          <w:rFonts w:eastAsia="等线" w:ascii="Arial" w:cs="Arial" w:hAnsi="Arial"/>
          <w:sz w:val="22"/>
        </w:rPr>
        <w:t>到场后登记队名、成员、选题及夜间休息需求。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参赛要求：</w:t>
      </w:r>
      <w:r>
        <w:rPr>
          <w:rFonts w:eastAsia="等线" w:ascii="Arial" w:cs="Arial" w:hAnsi="Arial"/>
          <w:sz w:val="22"/>
        </w:rPr>
        <w:t>需线下参与。</w:t>
      </w:r>
      <w:r>
        <w:rPr>
          <w:rFonts w:eastAsia="等线" w:ascii="Arial" w:cs="Arial" w:hAnsi="Arial"/>
          <w:b w:val="true"/>
          <w:sz w:val="22"/>
        </w:rPr>
        <w:t>允许已有项目参赛，需说明并展示比赛期间新增的内容</w:t>
      </w:r>
      <w:r>
        <w:rPr>
          <w:rFonts w:eastAsia="等线" w:ascii="Arial" w:cs="Arial" w:hAnsi="Arial"/>
          <w:sz w:val="22"/>
        </w:rPr>
        <w:t>，清楚区分赛前已有部分与本次新增功能，并注明沿用代码、素材及第三方组件的来源。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联合主办：</w:t>
      </w:r>
      <w:r>
        <w:rPr>
          <w:rFonts w:eastAsia="等线" w:ascii="Arial" w:cs="Arial" w:hAnsi="Arial"/>
          <w:sz w:val="22"/>
        </w:rPr>
        <w:t>词元方舟、湖北省大学生创业孵化联盟、汉客松、华中科技大学科技园（网谷分园）。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报名时间：</w:t>
      </w:r>
      <w:r>
        <w:rPr>
          <w:rFonts w:eastAsia="等线" w:ascii="Arial" w:cs="Arial" w:hAnsi="Arial"/>
          <w:sz w:val="22"/>
        </w:rPr>
        <w:t>即日起至10月5日，席位有限，滚动录取。关注微信公众号“词元方舟”或扫描活动海报二维码，点击【比赛报名】并加入咨询群。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特邀嘉宾：</w:t>
      </w:r>
      <w:r>
        <w:rPr>
          <w:rFonts w:eastAsia="等线" w:ascii="Arial" w:cs="Arial" w:hAnsi="Arial"/>
          <w:sz w:val="22"/>
        </w:rPr>
        <w:t>王丹、郭人杰、Treap、Edison Xu、Chen、李国正等；具体出席环节与时段将在选手群通知。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还未加入本届选手咨询群的小伙伴，可扫描下方二维码进群。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0250" cy="3171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项目展示重要信息</w:t>
      </w:r>
      <w:bookmarkEnd w:id="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 月 8 日下午开展全体项目展示与评审。</w:t>
            </w:r>
            <w:r>
              <w:rPr>
                <w:rFonts w:eastAsia="等线" w:ascii="Arial" w:cs="Arial" w:hAnsi="Arial"/>
                <w:sz w:val="22"/>
              </w:rPr>
              <w:t xml:space="preserve">请提前准备可运行作品与演示材料；场地与分组安排见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4.5 项目展示场地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，展示时长与评审规则见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6 评审机制与维度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 行囊单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为了让你在现场专注创作、无后顾之忧，建议提前准备好以下物品 👇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43"/>
        <w:gridCol w:w="4636"/>
      </w:tblGrid>
      <w:tr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403"/>
            </w:tblGrid>
            <w:tr>
              <w:tc>
                <w:tcPr>
                  <w:tcW w:w="3403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创作装备（必带）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笔记本电脑 + 电源适配器</w:t>
                  </w:r>
                </w:p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手机 + 充电器 / 充电宝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多口插排 / 拓展坞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鼠标、耳机（降噪耳机更佳）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提前安装开发依赖，登录所需账号，保存报名及入群信息</w:t>
                  </w:r>
                </w:p>
              </w:tc>
            </w:tr>
          </w:tbl>
          <w:p/>
        </w:tc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4396"/>
            </w:tblGrid>
            <w:tr>
              <w:tc>
                <w:tcPr>
                  <w:tcW w:w="4396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个人补给（建议）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身份证件、报名或录取信息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换洗衣物、外套（空调房温差大）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水杯、常用药品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过夜休息：眼罩、耳塞；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自备毛巾、洗发水、沐浴露、牙刷牙膏及拖鞋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使用蓝盒子床垫枕头过夜请自备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空调被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保存个人行程与酒店预订信息，确认到场时间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一颗随时开搞的松弛好心态 😎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 时间安排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注意：以下时间均为北京时间。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开发窗口连续计时，请合理安排用餐和休息。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本次活动为 10 月 6 日至 8 日。</w:t>
      </w:r>
      <w:r>
        <w:rPr>
          <w:rFonts w:eastAsia="等线" w:ascii="Arial" w:cs="Arial" w:hAnsi="Arial"/>
          <w:sz w:val="22"/>
        </w:rPr>
        <w:t xml:space="preserve">正式开发从 </w:t>
      </w:r>
      <w:r>
        <w:rPr>
          <w:rFonts w:eastAsia="等线" w:ascii="Arial" w:cs="Arial" w:hAnsi="Arial"/>
          <w:b w:val="true"/>
          <w:sz w:val="22"/>
        </w:rPr>
        <w:t>10 月 6 日 20:00</w:t>
      </w:r>
      <w:r>
        <w:rPr>
          <w:rFonts w:eastAsia="等线" w:ascii="Arial" w:cs="Arial" w:hAnsi="Arial"/>
          <w:sz w:val="22"/>
        </w:rPr>
        <w:t xml:space="preserve"> 开始，到 </w:t>
      </w:r>
      <w:r>
        <w:rPr>
          <w:rFonts w:eastAsia="等线" w:ascii="Arial" w:cs="Arial" w:hAnsi="Arial"/>
          <w:b w:val="true"/>
          <w:sz w:val="22"/>
        </w:rPr>
        <w:t>10 月 8 日 12:00</w:t>
      </w:r>
      <w:r>
        <w:rPr>
          <w:rFonts w:eastAsia="等线" w:ascii="Arial" w:cs="Arial" w:hAnsi="Arial"/>
          <w:sz w:val="22"/>
        </w:rPr>
        <w:t xml:space="preserve"> 截止，共 40 小时。三天两晚包含组队开发、导师答疑、中期检查与项目展示。桃岸 Homebar 为本届选手带来</w:t>
      </w:r>
      <w:r>
        <w:rPr>
          <w:rFonts w:eastAsia="等线" w:ascii="Arial" w:cs="Arial" w:hAnsi="Arial"/>
          <w:b w:val="true"/>
          <w:sz w:val="22"/>
        </w:rPr>
        <w:t>渠道特供票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现场精彩活动</w:t>
      </w:r>
      <w:r>
        <w:rPr>
          <w:rFonts w:eastAsia="等线" w:ascii="Arial" w:cs="Arial" w:hAnsi="Arial"/>
          <w:sz w:val="22"/>
        </w:rPr>
        <w:t>。下表为本届拟定日程；除上述开发窗口外，其余环节可随嘉宾及现场条件微调，调整将在选手群或现场公告说明。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🚀 首日到场行动指引（10 月 6 日）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到场签到：</w:t>
      </w:r>
      <w:r>
        <w:rPr>
          <w:rFonts w:eastAsia="等线" w:ascii="Arial" w:cs="Arial" w:hAnsi="Arial"/>
          <w:sz w:val="22"/>
        </w:rPr>
        <w:t>计划 14:00–15:00 完成签到、领取物料并熟悉活动区域。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组队准备：</w:t>
      </w:r>
      <w:r>
        <w:rPr>
          <w:rFonts w:eastAsia="等线" w:ascii="Arial" w:cs="Arial" w:hAnsi="Arial"/>
          <w:sz w:val="22"/>
        </w:rPr>
        <w:t>登记队名、成员、选题，开赛前检查开发环境与资源账号。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夜间留场：</w:t>
      </w:r>
      <w:r>
        <w:rPr>
          <w:rFonts w:eastAsia="等线" w:ascii="Arial" w:cs="Arial" w:hAnsi="Arial"/>
          <w:sz w:val="22"/>
        </w:rPr>
        <w:t>说明休息需求，按现场安排登记床垫使用。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日程与现场活动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Day 1 · 10月6日 —— 活动签到 &amp; 开幕启动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2325"/>
        <w:gridCol w:w="3375"/>
        <w:gridCol w:w="10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14:00–15:00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选手签到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领取物料，登记队伍和夜间休息需求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15:00–15:30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活动与联合主办单位介绍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15:30–17:00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主题交流与赛题说明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了解赛题、参赛规则与提交要求，具体讲者另行通知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选题与组队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确认成员、队名与拟开发内容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前往园区酒店餐厅统一就餐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19:00–20:00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开赛准备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检查开发环境、技术资源和队伍信息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Hacking Start!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 小时开发计时开始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20:00–22:00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首轮开发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完成任务分工并推进核心功能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22:00–23:00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夜间留场登记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登记留场与床垫使用，按安排进入休息区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23:00–次日07:00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自主开发或休息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开发区与休息区分开，休息区保持安静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Day 2 · 10月7日 —— 全天开发 &amp; 导师陪跑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95"/>
        <w:gridCol w:w="3330"/>
        <w:gridCol w:w="162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08:00–09:00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</w:t>
            </w:r>
          </w:p>
        </w:tc>
        <w:tc>
          <w:tcPr>
            <w:tcW w:w="16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09:00–12:00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开发与导师答疑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围绕团队问题交流，推进可运行功能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09:30–10:30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 Wuhan Workshop with Shyam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Google Meet 参会入口: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https://meet.google.com/uov-qcgn-pjd</w:t>
              </w:r>
            </w:hyperlink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09:30–10:30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 Wuhan Workshop with Austin Griffith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Meet 参会入口: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https://meet.google.com/cub-gttq-jeo</w:t>
              </w:r>
            </w:hyperlink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园区酒店餐厅统一午餐，餐后短时休息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13:00–14:30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中期进度与检查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13:00–13:30 整理进度；13:30–14:30 分区交流难点与下一步任务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14:30–17:30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持续开发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根据反馈迭代，按安排预约答疑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17:30–18:30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园区酒店餐厅统一晚餐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18:30–21:30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联调与演示准备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测试功能，整理项目介绍与演示材料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21:30–22:30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第二晚留场登记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确认提交要求和床垫使用；补给以现场通知为准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22:30–次日07:00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自主开发或休息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保持安静，合理安排休息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Day 3 · 10月8日 —— 提交、项目展示 &amp; 闭幕颁奖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455"/>
        <w:gridCol w:w="3555"/>
        <w:gridCol w:w="214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上午至12:00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开发收尾与提交检查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早餐自行安排；完成核心功能、联调与材料检查</w:t>
            </w:r>
          </w:p>
        </w:tc>
        <w:tc>
          <w:tcPr>
            <w:tcW w:w="21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截止提交（满 40h）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完成代码、运行说明和演示材料提交；入口在本届选手群公布</w:t>
            </w:r>
          </w:p>
        </w:tc>
        <w:tc>
          <w:tcPr>
            <w:tcW w:w="21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园区酒店餐厅统一午餐</w:t>
            </w:r>
          </w:p>
        </w:tc>
        <w:tc>
          <w:tcPr>
            <w:tcW w:w="21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13:00–13:30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布置展示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在指定工位准备项目展示，检查电源与设备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报告厅及培训教室原开发工位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13:30–18:30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全体项目展示与评审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按评审分组展示核心功能并交流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报告厅及培训教室原开发工位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18:30–19:00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闭幕、颁奖与合影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了解赛后项目跟进安排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19:00后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afterparty！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由桃岸 homebar 赞助支持，</w:t>
            </w:r>
            <w:r>
              <w:rPr>
                <w:rFonts w:eastAsia="等线" w:ascii="Arial" w:cs="Arial" w:hAnsi="Arial"/>
                <w:b w:val="true"/>
                <w:sz w:val="22"/>
              </w:rPr>
              <w:t>全场畅饮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桃岸 homebar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 场地、出行与餐饮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本章提供场地分区、餐饮、住宿及出行指引。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通宵注意事项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场地可夜间开放，留场选手按要求登记。</w:t>
            </w:r>
            <w:r>
              <w:rPr>
                <w:rFonts w:eastAsia="等线" w:ascii="Arial" w:cs="Arial" w:hAnsi="Arial"/>
                <w:sz w:val="22"/>
              </w:rPr>
              <w:t>开发区与休息区分开，休息区保持安静；请按工作人员指引进出。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比赛场地：网安软件园二期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导航：</w:t>
      </w:r>
      <w:r>
        <w:rPr>
          <w:rFonts w:eastAsia="等线" w:ascii="Arial" w:cs="Arial" w:hAnsi="Arial"/>
          <w:sz w:val="22"/>
        </w:rPr>
        <w:t>武汉市东西湖区网安大道 77 号，网安软件园二期。进入园区后按本届指引前往签到点。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开发与展示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报告厅和培训教室拟作开发区，第三天下午在原工位进行项目展示。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休息与交流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展厅保持为独立床垫休息区；导师交流与项目对接按现场区域安排进行。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4.3 饮食与公共空间使用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统一正餐在园区酒店餐厅，户外连廊可饮食。</w:t>
      </w:r>
      <w:r>
        <w:rPr>
          <w:rFonts w:eastAsia="等线" w:ascii="Arial" w:cs="Arial" w:hAnsi="Arial"/>
          <w:sz w:val="22"/>
        </w:rPr>
        <w:t>室内开发区与休息区不设统一用餐点；遇天气变化请按现场指引调整。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4.3.1 垃圾收集与工位整理</w:t>
      </w:r>
      <w:bookmarkEnd w:id="14"/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请将垃圾分类投放至现场指定位置，保持工位、休息区和公共通道整洁。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离场前带走个人物品、清理工位，并按工作人员指引完成物资交接。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4.3.2 餐厅：园区酒店餐厅</w:t>
      </w:r>
      <w:bookmarkEnd w:id="1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统一供餐共四餐：10 月 6 日晚餐、7 日午餐、晚餐、8 日午餐。</w:t>
      </w:r>
      <w:r>
        <w:rPr>
          <w:rFonts w:eastAsia="等线" w:ascii="Arial" w:cs="Arial" w:hAnsi="Arial"/>
          <w:b w:val="true"/>
          <w:sz w:val="22"/>
        </w:rPr>
        <w:t>10 月 8 日晚颁奖后出发前往桃岸 homebar 进行 afterparty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4.3.3 就餐指引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请按日程中的供餐时间，前往园区酒店餐厅就餐。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场内动线与转场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签到后前往分配工位；集中活动按现场指引转场，保持通道畅通。区域分布见上方场地图。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4.5 项目展示场地：报告厅与培训教室</w:t>
      </w:r>
      <w:bookmarkEnd w:id="1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展示分组、顺序和评审动线将在本节及选手群更新；请按分组提前布置设备与演示材料。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4.6 终评与颁奖场地：报告厅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入围终评的队伍请提前到报告厅测试演示设备；终评、颁奖与合影时段见 </w:t>
      </w:r>
      <w:hyperlink r:id="rId11">
        <w:r>
          <w:rPr>
            <w:rFonts w:eastAsia="等线" w:ascii="Arial" w:cs="Arial" w:hAnsi="Arial"/>
            <w:color w:val="3370ff"/>
            <w:sz w:val="22"/>
          </w:rPr>
          <w:t>Day 3 日程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4.7 合影与现场活动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合影按现场工作人员指引集合。桃岸 Homebar 为本届选手带来</w:t>
      </w:r>
      <w:r>
        <w:rPr>
          <w:rFonts w:eastAsia="等线" w:ascii="Arial" w:cs="Arial" w:hAnsi="Arial"/>
          <w:b w:val="true"/>
          <w:sz w:val="22"/>
        </w:rPr>
        <w:t>渠道特供票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现场精彩活动</w:t>
      </w:r>
      <w:r>
        <w:rPr>
          <w:rFonts w:eastAsia="等线" w:ascii="Arial" w:cs="Arial" w:hAnsi="Arial"/>
          <w:sz w:val="22"/>
        </w:rPr>
        <w:t>，具体安排以现场及选手群通知为准。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4.8  🏨 住宿酒店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酒店住宿由选手自主选择购买；现场提供免费淋浴与蓝盒子休息用品支持，请按以下规则使用。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🏨 酒店住宿</w:t>
                  </w:r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临空港网谷云居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，住宿补贴后为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189 元／间／晚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双床房或大床房自选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，每间可住两人；两人合住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94.5 元／人／晚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，人均不到 95 元。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预订渠道待公布。</w:t>
                  </w:r>
                  <w:r>
                    <w:rPr>
                      <w:rFonts w:eastAsia="等线" w:ascii="Arial" w:cs="Arial" w:hAnsi="Arial"/>
                      <w:sz w:val="22"/>
                    </w:rPr>
                    <w:t>补贴适用日期、结算及入住退房时间将随本届住宿通知一并说明。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🛏️ 蓝盒子休息区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蓝盒子赞助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20 套「小蓝垫＋小蓝枕」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（20 张床垫、20 个枕头），展厅独立设置休息区，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男女分区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白天：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先到先得，每次使用不超过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 小时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夜间：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登记使用。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保持安静与清洁，离场前按工作人员指引完成床垫与枕头交接。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现场会进行休息区与活动场景记录。如不希望出镜，请提前向现场工作人员说明。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87"/>
        <w:gridCol w:w="2992"/>
      </w:tblGrid>
      <w:tr>
        <w:tc>
          <w:tcPr>
            <w:tcW w:w="528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00400" cy="2400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  <w:tc>
          <w:tcPr>
            <w:tcW w:w="29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43075" cy="23241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酒店自助餐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对于来自湖北省外的朋友们，我们将拿出不低于 10 个蓝盒子枕头或床垫，作为大家的差旅补贴，我们之后会发放路费收集问卷，按金额从上往下发放，发完为止。补贴在比赛结束后现场领取！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🚿 免费淋浴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 </w:t>
            </w:r>
            <w:r>
              <w:rPr>
                <w:rFonts w:eastAsia="等线" w:ascii="Arial" w:cs="Arial" w:hAnsi="Arial"/>
                <w:b w:val="true"/>
                <w:sz w:val="22"/>
              </w:rPr>
              <w:t>两间房间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男女分开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请自备毛巾、洗发水、沐浴露及拖鞋等洗浴用品。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第一天｜10 月 6 日：16:00–22:00。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第二天｜10 月 7 日：10:00–14:00。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具体房间与使用动线以现场指引为准。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有住宿、淋浴或休息使用问题，请联系现场服务点。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4.9 🚇 地铁与公共交通</w:t>
      </w:r>
      <w:bookmarkEnd w:id="2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请以</w:t>
      </w:r>
      <w:r>
        <w:rPr>
          <w:rFonts w:eastAsia="等线" w:ascii="Arial" w:cs="Arial" w:hAnsi="Arial"/>
          <w:b w:val="true"/>
          <w:sz w:val="22"/>
        </w:rPr>
        <w:t>网安软件园二期</w:t>
      </w:r>
      <w:r>
        <w:rPr>
          <w:rFonts w:eastAsia="等线" w:ascii="Arial" w:cs="Arial" w:hAnsi="Arial"/>
          <w:sz w:val="22"/>
        </w:rPr>
        <w:t xml:space="preserve">为目的地查询实时公共交通路线；导航地址与场地图见 </w:t>
      </w:r>
      <w:hyperlink r:id="rId16">
        <w:r>
          <w:rPr>
            <w:rFonts w:eastAsia="等线" w:ascii="Arial" w:cs="Arial" w:hAnsi="Arial"/>
            <w:color w:val="3370ff"/>
            <w:sz w:val="22"/>
          </w:rPr>
          <w:t>4.2 比赛场地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入园指引待公布：</w:t>
      </w:r>
      <w:r>
        <w:rPr>
          <w:rFonts w:eastAsia="等线" w:ascii="Arial" w:cs="Arial" w:hAnsi="Arial"/>
          <w:sz w:val="22"/>
        </w:rPr>
        <w:t>具体楼栋、入口与签到点将在本节及选手群同步。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4.9.1 🚄 高铁 / 火车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抵达武昌站、汉口站或武汉站后，请查询至网安软件园二期的实时路线，并预留园区内步行与签到时间。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4.9.2 🛫 飞机</w:t>
      </w:r>
      <w:bookmarkEnd w:id="2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</w:t>
      </w:r>
      <w:r>
        <w:rPr>
          <w:rFonts w:eastAsia="等线" w:ascii="Arial" w:cs="Arial" w:hAnsi="Arial"/>
          <w:b w:val="true"/>
          <w:sz w:val="22"/>
        </w:rPr>
        <w:t>武汉天河国际机场</w:t>
      </w:r>
      <w:r>
        <w:rPr>
          <w:rFonts w:eastAsia="等线" w:ascii="Arial" w:cs="Arial" w:hAnsi="Arial"/>
          <w:sz w:val="22"/>
        </w:rPr>
        <w:t>后，请以网安软件园二期为目的地查询实时公共交通或打车路线；时长与费用以出行当天为准。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4.9.3 🚕 出租车 / 自驾</w:t>
      </w:r>
      <w:bookmarkEnd w:id="2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打车导航至</w:t>
      </w:r>
      <w:r>
        <w:rPr>
          <w:rFonts w:eastAsia="等线" w:ascii="Arial" w:cs="Arial" w:hAnsi="Arial"/>
          <w:b w:val="true"/>
          <w:sz w:val="22"/>
        </w:rPr>
        <w:t>网安软件园二期</w:t>
      </w:r>
      <w:r>
        <w:rPr>
          <w:rFonts w:eastAsia="等线" w:ascii="Arial" w:cs="Arial" w:hAnsi="Arial"/>
          <w:sz w:val="22"/>
        </w:rPr>
        <w:t>；下车位置与园区入口见本章入园指引。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自驾入园、停车位置及费用请遵循园区现场要求。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5 赛道说明｜AI × Blockchain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本章介绍 </w:t>
      </w:r>
      <w:r>
        <w:rPr>
          <w:rFonts w:eastAsia="等线" w:ascii="Arial" w:cs="Arial" w:hAnsi="Arial"/>
          <w:b w:val="true"/>
          <w:sz w:val="22"/>
        </w:rPr>
        <w:t>GCC 公共物品</w:t>
      </w: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等线" w:ascii="Arial" w:cs="Arial" w:hAnsi="Arial"/>
          <w:b w:val="true"/>
          <w:sz w:val="22"/>
        </w:rPr>
        <w:t>BOT Chain BUILD BEYOND 2026</w:t>
      </w:r>
      <w:r>
        <w:rPr>
          <w:rFonts w:eastAsia="等线" w:ascii="Arial" w:cs="Arial" w:hAnsi="Arial"/>
          <w:sz w:val="22"/>
        </w:rPr>
        <w:t xml:space="preserve"> 的赛道内容、开发支持及交付要求。请根据项目方向阅读对应说明；通用评审机制见</w:t>
      </w:r>
      <w:hyperlink r:id="rId17">
        <w:r>
          <w:rPr>
            <w:rFonts w:eastAsia="等线" w:ascii="Arial" w:cs="Arial" w:hAnsi="Arial"/>
            <w:color w:val="3370ff"/>
            <w:sz w:val="22"/>
          </w:rPr>
          <w:t>第 6 节</w:t>
        </w:r>
      </w:hyperlink>
      <w:r>
        <w:rPr>
          <w:rFonts w:eastAsia="等线" w:ascii="Arial" w:cs="Arial" w:hAnsi="Arial"/>
          <w:sz w:val="22"/>
        </w:rPr>
        <w:t>，兼报、兼得奖项规则及奖金设置见</w:t>
      </w:r>
      <w:hyperlink r:id="rId18">
        <w:r>
          <w:rPr>
            <w:rFonts w:eastAsia="等线" w:ascii="Arial" w:cs="Arial" w:hAnsi="Arial"/>
            <w:color w:val="3370ff"/>
            <w:sz w:val="22"/>
          </w:rPr>
          <w:t>第 7 节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5.1 探索方向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本次活动围绕 AI 智能体与应用开发展开。你可以从企业知识服务、业务流程助手、身份与权限管理、可信数据和安全验证等实际需求出发，探索 AI 与区块链结合的应用。以下为两个分赛道的具体说明。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5.1.1 GCC 公共物品赛道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公共物品赛道关注以太坊生态中的共享工具、可信信息与开放协作。本届提供两个赛题，分别从 Agent 的服务信任和链上异动调查切入，鼓励将开发成果沉淀为其他人能够使用、核查和继续改进的工具与方法。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赛题一：Agent 公共信誉与服务验收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需要调用一个陌生服务时，它应该如何判断这个服务是否可靠？有链上身份、有历史评分，并不意味着服务当前可用、数据准确，或能够完成承诺的任务。</w:t>
      </w:r>
      <w:hyperlink r:id="rId19">
        <w:r>
          <w:rPr>
            <w:rFonts w:eastAsia="等线" w:ascii="Arial" w:cs="Arial" w:hAnsi="Arial"/>
            <w:color w:val="3370ff"/>
            <w:sz w:val="22"/>
          </w:rPr>
          <w:t>ERC-8004</w:t>
        </w:r>
      </w:hyperlink>
      <w:r>
        <w:rPr>
          <w:rFonts w:eastAsia="等线" w:ascii="Arial" w:cs="Arial" w:hAnsi="Arial"/>
          <w:sz w:val="22"/>
        </w:rPr>
        <w:t xml:space="preserve"> 也指出，注册不能保证能力真实，信誉仍可能受到刷分和女巫攻击。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这道赛题希望你</w:t>
      </w:r>
      <w:r>
        <w:rPr>
          <w:rFonts w:eastAsia="等线" w:ascii="Arial" w:cs="Arial" w:hAnsi="Arial"/>
          <w:b w:val="true"/>
          <w:sz w:val="22"/>
        </w:rPr>
        <w:t>帮助 Agent 选择可靠服务，并让一次使用的结果成为其他使用者可以参考的公共信息</w:t>
      </w:r>
      <w:r>
        <w:rPr>
          <w:rFonts w:eastAsia="等线" w:ascii="Arial" w:cs="Arial" w:hAnsi="Arial"/>
          <w:sz w:val="22"/>
        </w:rPr>
        <w:t>。你可以从服务探测、交付验收、履约记录、信誉聚合或抗刷分中选择一个环节展开。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例如，用户让研究 Agent 分析某个以太坊合约。Agent 需要采购链上数据，因此比较了不同服务的价格、覆盖范围和历史表现。某项服务返回过期数据后，Agent 能够发现问题、换用其他服务，并留下带有依据的记录。下一位使用者可以利用这次记录，改善自己的选择。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这里的公共物品是</w:t>
      </w:r>
      <w:r>
        <w:rPr>
          <w:rFonts w:eastAsia="等线" w:ascii="Arial" w:cs="Arial" w:hAnsi="Arial"/>
          <w:b w:val="true"/>
          <w:sz w:val="22"/>
        </w:rPr>
        <w:t>开放的评价工具、验收方法和共享记录</w:t>
      </w:r>
      <w:r>
        <w:rPr>
          <w:rFonts w:eastAsia="等线" w:ascii="Arial" w:cs="Arial" w:hAnsi="Arial"/>
          <w:sz w:val="22"/>
        </w:rPr>
        <w:t>，服务本身可以收费。以太坊承担跨主体身份、信誉记录及验证的职责，你可以复用 ERC-8004 等组件完成开发。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赛题二：以太坊链上异动调查 Agent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以太坊上的交易、资金流动和协议运行不断产生新的信息。对于投研、交易、风险管理和协议运营人员，发现变化只是第一步，更重要的是理解变化的原因、潜在影响，以及判断所依据的证据。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这道赛题希望你结合</w:t>
      </w:r>
      <w:r>
        <w:rPr>
          <w:rFonts w:eastAsia="等线" w:ascii="Arial" w:cs="Arial" w:hAnsi="Arial"/>
          <w:b w:val="true"/>
          <w:sz w:val="22"/>
        </w:rPr>
        <w:t>量化分析、链上数据与 Agent 协作</w:t>
      </w:r>
      <w:r>
        <w:rPr>
          <w:rFonts w:eastAsia="等线" w:ascii="Arial" w:cs="Arial" w:hAnsi="Arial"/>
          <w:sz w:val="22"/>
        </w:rPr>
        <w:t>，围绕一个真实问题开展调查，形成可核查的解释与决策依据。你可以参考以下方向：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协议风险：</w:t>
      </w:r>
      <w:r>
        <w:rPr>
          <w:rFonts w:eastAsia="等线" w:ascii="Arial" w:cs="Arial" w:hAnsi="Arial"/>
          <w:sz w:val="22"/>
        </w:rPr>
        <w:t>异常清算、流动性变化及其与市场和协议机制的关系。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资金行为：</w:t>
      </w:r>
      <w:r>
        <w:rPr>
          <w:rFonts w:eastAsia="等线" w:ascii="Arial" w:cs="Arial" w:hAnsi="Arial"/>
          <w:sz w:val="22"/>
        </w:rPr>
        <w:t>大额资金流、跨协议活动中的有效线索与信息噪声。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交易质量：</w:t>
      </w:r>
      <w:r>
        <w:rPr>
          <w:rFonts w:eastAsia="等线" w:ascii="Arial" w:cs="Arial" w:hAnsi="Arial"/>
          <w:sz w:val="22"/>
        </w:rPr>
        <w:t>成交、成本和执行结果的异常及其改进空间。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以上仅为参考，也欢迎其他与以太坊密切相关的异动分析场景。Agent 可以参与数据搜集、任务分解、假设探索、跨来源核验或结果解释，并与量化模型、链上工具及其他 Agent 协作。产品形态和编排方式由团队自主选择，成果可进一步沉淀为开放工具、事件案例与研究方法。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本赛题将关注以下方面：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应用价值：</w:t>
      </w:r>
      <w:r>
        <w:rPr>
          <w:rFonts w:eastAsia="等线" w:ascii="Arial" w:cs="Arial" w:hAnsi="Arial"/>
          <w:sz w:val="22"/>
        </w:rPr>
        <w:t>是否回应明确用户的真实需求，对研究或业务判断有实际帮助。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以太坊关联：</w:t>
      </w:r>
      <w:r>
        <w:rPr>
          <w:rFonts w:eastAsia="等线" w:ascii="Arial" w:cs="Arial" w:hAnsi="Arial"/>
          <w:sz w:val="22"/>
        </w:rPr>
        <w:t>是否充分利用以太坊的数据、交易或协议机制。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协作：</w:t>
      </w:r>
      <w:r>
        <w:rPr>
          <w:rFonts w:eastAsia="等线" w:ascii="Arial" w:cs="Arial" w:hAnsi="Arial"/>
          <w:sz w:val="22"/>
        </w:rPr>
        <w:t>Agent 与分析工具或其他 Agent 的结合是否有效，是否带来实际增量。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分析可信度：</w:t>
      </w:r>
      <w:r>
        <w:rPr>
          <w:rFonts w:eastAsia="等线" w:ascii="Arial" w:cs="Arial" w:hAnsi="Arial"/>
          <w:sz w:val="22"/>
        </w:rPr>
        <w:t>方法是否合理，结论是否有证据支持，不确定性是否表达清楚。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创新与完成度：</w:t>
      </w:r>
      <w:r>
        <w:rPr>
          <w:rFonts w:eastAsia="等线" w:ascii="Arial" w:cs="Arial" w:hAnsi="Arial"/>
          <w:sz w:val="22"/>
        </w:rPr>
        <w:t>核心能力是否可运行，在分析方法、调查效率或产品体验上是否有所改进。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开放与持续发展：</w:t>
      </w:r>
      <w:r>
        <w:rPr>
          <w:rFonts w:eastAsia="等线" w:ascii="Arial" w:cs="Arial" w:hAnsi="Arial"/>
          <w:sz w:val="22"/>
        </w:rPr>
        <w:t>成果是否便于复用，并具备后续产业应用和学术研究空间。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5.1.2 BOT Chain BUILD BEYOND 2026 分赛道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本届汉客松将作为 </w:t>
      </w:r>
      <w:r>
        <w:rPr>
          <w:rFonts w:eastAsia="等线" w:ascii="Arial" w:cs="Arial" w:hAnsi="Arial"/>
          <w:b w:val="true"/>
          <w:sz w:val="22"/>
        </w:rPr>
        <w:t>BOT Chain BUILD BEYOND 2026 全球线上黑客松中国区线下分会场</w:t>
      </w:r>
      <w:r>
        <w:rPr>
          <w:rFonts w:eastAsia="等线" w:ascii="Arial" w:cs="Arial" w:hAnsi="Arial"/>
          <w:sz w:val="22"/>
        </w:rPr>
        <w:t>，特别设置 BOT Chain 赛道。BOT Chain 为本届赛事赞助商及赛道／技术合作伙伴。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在武汉场完成项目提交并符合参赛要求的团队，将通过</w:t>
      </w:r>
      <w:r>
        <w:rPr>
          <w:rFonts w:eastAsia="等线" w:ascii="Arial" w:cs="Arial" w:hAnsi="Arial"/>
          <w:b w:val="true"/>
          <w:sz w:val="22"/>
        </w:rPr>
        <w:t>专属通道直通 BOT Chain BUILD BEYOND 2026 全球线上黑客松</w:t>
      </w:r>
      <w:r>
        <w:rPr>
          <w:rFonts w:eastAsia="等线" w:ascii="Arial" w:cs="Arial" w:hAnsi="Arial"/>
          <w:sz w:val="22"/>
        </w:rPr>
        <w:t xml:space="preserve">，继续完善和展示项目，并有机会角逐总额 </w:t>
      </w:r>
      <w:r>
        <w:rPr>
          <w:rFonts w:eastAsia="等线" w:ascii="Arial" w:cs="Arial" w:hAnsi="Arial"/>
          <w:b w:val="true"/>
          <w:sz w:val="22"/>
        </w:rPr>
        <w:t>50,000 美元的全球奖池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线上黑客松的具体赛程、赛道及报名信息将于 </w:t>
      </w:r>
      <w:r>
        <w:rPr>
          <w:rFonts w:eastAsia="等线" w:ascii="Arial" w:cs="Arial" w:hAnsi="Arial"/>
          <w:b w:val="true"/>
          <w:sz w:val="22"/>
        </w:rPr>
        <w:t>2026 年 10 月</w:t>
      </w:r>
      <w:r>
        <w:rPr>
          <w:rFonts w:eastAsia="等线" w:ascii="Arial" w:cs="Arial" w:hAnsi="Arial"/>
          <w:sz w:val="22"/>
        </w:rPr>
        <w:t>陆续公布，敬请关注汉客松及 BOT Chain 官方账号。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是面向 AI Agent、DePIN 与去中心化应用的 </w:t>
      </w:r>
      <w:r>
        <w:rPr>
          <w:rFonts w:eastAsia="等线" w:ascii="Arial" w:cs="Arial" w:hAnsi="Arial"/>
          <w:b w:val="true"/>
          <w:sz w:val="22"/>
        </w:rPr>
        <w:t>EVM 兼容 Layer 1 公链</w:t>
      </w:r>
      <w:r>
        <w:rPr>
          <w:rFonts w:eastAsia="等线" w:ascii="Arial" w:cs="Arial" w:hAnsi="Arial"/>
          <w:sz w:val="22"/>
        </w:rPr>
        <w:t xml:space="preserve">。开发者可沿用 Solidity、Hardhat、Foundry、Remix 等工具进行合约开发与项目集成。更多生态信息见 </w:t>
      </w:r>
      <w:hyperlink r:id="rId20">
        <w:r>
          <w:rPr>
            <w:rFonts w:eastAsia="等线" w:ascii="Arial" w:cs="Arial" w:hAnsi="Arial"/>
            <w:color w:val="3370ff"/>
            <w:sz w:val="22"/>
          </w:rPr>
          <w:t>BOT Chain 中文介绍</w:t>
        </w:r>
      </w:hyperlink>
      <w:r>
        <w:rPr>
          <w:rFonts w:eastAsia="等线" w:ascii="Arial" w:cs="Arial" w:hAnsi="Arial"/>
          <w:sz w:val="22"/>
        </w:rPr>
        <w:t>，开发资源见下文。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主网部署协作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本次合作由主办方组织项目接入 </w:t>
      </w:r>
      <w:r>
        <w:rPr>
          <w:rFonts w:eastAsia="等线" w:ascii="Arial" w:cs="Arial" w:hAnsi="Arial"/>
          <w:b w:val="true"/>
          <w:sz w:val="22"/>
        </w:rPr>
        <w:t>BOT Chain Mainnet</w:t>
      </w:r>
      <w:r>
        <w:rPr>
          <w:rFonts w:eastAsia="等线" w:ascii="Arial" w:cs="Arial" w:hAnsi="Arial"/>
          <w:sz w:val="22"/>
        </w:rPr>
        <w:t xml:space="preserve">，整体目标为 </w:t>
      </w:r>
      <w:r>
        <w:rPr>
          <w:rFonts w:eastAsia="等线" w:ascii="Arial" w:cs="Arial" w:hAnsi="Arial"/>
          <w:b w:val="true"/>
          <w:sz w:val="22"/>
        </w:rPr>
        <w:t>20—25 个不同项目</w:t>
      </w:r>
      <w:r>
        <w:rPr>
          <w:rFonts w:eastAsia="等线" w:ascii="Arial" w:cs="Arial" w:hAnsi="Arial"/>
          <w:sz w:val="22"/>
        </w:rPr>
        <w:t xml:space="preserve">，以不少于 </w:t>
      </w:r>
      <w:r>
        <w:rPr>
          <w:rFonts w:eastAsia="等线" w:ascii="Arial" w:cs="Arial" w:hAnsi="Arial"/>
          <w:b w:val="true"/>
          <w:sz w:val="22"/>
        </w:rPr>
        <w:t>20 个项目</w:t>
      </w:r>
      <w:r>
        <w:rPr>
          <w:rFonts w:eastAsia="等线" w:ascii="Arial" w:cs="Arial" w:hAnsi="Arial"/>
          <w:sz w:val="22"/>
        </w:rPr>
        <w:t>完成部署并通过双方核验为达标。该数量是主办方的整体交付目标，具体项目的部署安排由工作人员与团队对接确认。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参与部署协作的项目原则上在 </w:t>
      </w:r>
      <w:r>
        <w:rPr>
          <w:rFonts w:eastAsia="等线" w:ascii="Arial" w:cs="Arial" w:hAnsi="Arial"/>
          <w:b w:val="true"/>
          <w:sz w:val="22"/>
        </w:rPr>
        <w:t>10 月 6 日至 8 日活动及 Demo Day 期间</w:t>
      </w:r>
      <w:r>
        <w:rPr>
          <w:rFonts w:eastAsia="等线" w:ascii="Arial" w:cs="Arial" w:hAnsi="Arial"/>
          <w:sz w:val="22"/>
        </w:rPr>
        <w:t xml:space="preserve">完成主网上线。如整体数量不足，主办方可在赛后继续组织补足，最迟于 </w:t>
      </w:r>
      <w:r>
        <w:rPr>
          <w:rFonts w:eastAsia="等线" w:ascii="Arial" w:cs="Arial" w:hAnsi="Arial"/>
          <w:b w:val="true"/>
          <w:sz w:val="22"/>
        </w:rPr>
        <w:t>2026 年 11 月 3 日</w:t>
      </w:r>
      <w:r>
        <w:rPr>
          <w:rFonts w:eastAsia="等线" w:ascii="Arial" w:cs="Arial" w:hAnsi="Arial"/>
          <w:sz w:val="22"/>
        </w:rPr>
        <w:t xml:space="preserve">完成。赛后补足安排不延长比赛作品的提交期限，提交时间见 </w:t>
      </w:r>
      <w:hyperlink r:id="rId21">
        <w:r>
          <w:rPr>
            <w:rFonts w:eastAsia="等线" w:ascii="Arial" w:cs="Arial" w:hAnsi="Arial"/>
            <w:color w:val="3370ff"/>
            <w:sz w:val="22"/>
          </w:rPr>
          <w:t>5.3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有效部署按 </w:t>
      </w:r>
      <w:hyperlink r:id="rId22">
        <w:r>
          <w:rPr>
            <w:rFonts w:eastAsia="等线" w:ascii="Arial" w:cs="Arial" w:hAnsi="Arial"/>
            <w:color w:val="3370ff"/>
            <w:sz w:val="22"/>
          </w:rPr>
          <w:t>5.2</w:t>
        </w:r>
      </w:hyperlink>
      <w:r>
        <w:rPr>
          <w:rFonts w:eastAsia="等线" w:ascii="Arial" w:cs="Arial" w:hAnsi="Arial"/>
          <w:sz w:val="22"/>
        </w:rPr>
        <w:t xml:space="preserve"> 所列材料核验，同一项目不重复计数。仅报名、创建钱包、申请 Gas、领取测试币、测试网部署或表达参赛意向，均不计入有效部署项目。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为参赛项目提供主网接入与部署所需的 </w:t>
      </w:r>
      <w:r>
        <w:rPr>
          <w:rFonts w:eastAsia="等线" w:ascii="Arial" w:cs="Arial" w:hAnsi="Arial"/>
          <w:b w:val="true"/>
          <w:sz w:val="22"/>
        </w:rPr>
        <w:t>Gas、技术资料、开发文档、可用接口及技术答疑</w:t>
      </w:r>
      <w:r>
        <w:rPr>
          <w:rFonts w:eastAsia="等线" w:ascii="Arial" w:cs="Arial" w:hAnsi="Arial"/>
          <w:sz w:val="22"/>
        </w:rPr>
        <w:t>，并指定技术联系人。Gas 的申请、发放方式和合理额度由双方提前确认，具体安排将通过选手群说明。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活动将安排一次技术 Workshop 或设置资源专区，具体形式与时间以现场及选手群通知为准。遇到 Gas、接口或主网接入问题时，请及时联系工作人员与技术联系人，便于协调处理。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开发与迁移指南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提供了约 5 分钟的 </w:t>
      </w:r>
      <w:hyperlink r:id="rId23">
        <w:r>
          <w:rPr>
            <w:rFonts w:eastAsia="等线" w:ascii="Arial" w:cs="Arial" w:hAnsi="Arial"/>
            <w:color w:val="3370ff"/>
            <w:sz w:val="22"/>
          </w:rPr>
          <w:t>EVM 迁移演示（Minute Migration Demo）</w:t>
        </w:r>
      </w:hyperlink>
      <w:r>
        <w:rPr>
          <w:rFonts w:eastAsia="等线" w:ascii="Arial" w:cs="Arial" w:hAnsi="Arial"/>
          <w:sz w:val="22"/>
        </w:rPr>
        <w:t>，可在开发期间参考。网络配置、钱包接入和主网部署的详细步骤，请查阅以下资料：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开发者文档</w:t>
        </w:r>
      </w:hyperlink>
      <w:r>
        <w:rPr>
          <w:rFonts w:eastAsia="等线" w:ascii="Arial" w:cs="Arial" w:hAnsi="Arial"/>
          <w:sz w:val="22"/>
        </w:rPr>
        <w:t>：快速入门、网络配置与开发工具。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项目集成指南</w:t>
        </w:r>
      </w:hyperlink>
      <w:r>
        <w:rPr>
          <w:rFonts w:eastAsia="等线" w:ascii="Arial" w:cs="Arial" w:hAnsi="Arial"/>
          <w:sz w:val="22"/>
        </w:rPr>
        <w:t>：钱包配置、主网接入与合约部署流程。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>：官方代码仓库。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基础设施与常用入口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BOT Chain 官网</w:t>
        </w:r>
      </w:hyperlink>
      <w:r>
        <w:rPr>
          <w:rFonts w:eastAsia="等线" w:ascii="Arial" w:cs="Arial" w:hAnsi="Arial"/>
          <w:sz w:val="22"/>
        </w:rPr>
        <w:t>：主网与生态信息。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区块浏览器</w:t>
        </w:r>
      </w:hyperlink>
      <w:r>
        <w:rPr>
          <w:rFonts w:eastAsia="等线" w:ascii="Arial" w:cs="Arial" w:hAnsi="Arial"/>
          <w:sz w:val="22"/>
        </w:rPr>
        <w:t>：查询交易、地址与合约。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跨链桥</w:t>
        </w:r>
      </w:hyperlink>
      <w:r>
        <w:rPr>
          <w:rFonts w:eastAsia="等线" w:ascii="Arial" w:cs="Arial" w:hAnsi="Arial"/>
          <w:sz w:val="22"/>
        </w:rPr>
        <w:t>：资产跨链入口。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BOT DEX</w:t>
        </w:r>
      </w:hyperlink>
      <w:r>
        <w:rPr>
          <w:rFonts w:eastAsia="等线" w:ascii="Arial" w:cs="Arial" w:hAnsi="Arial"/>
          <w:sz w:val="22"/>
        </w:rPr>
        <w:t>：生态交易与流动性入口。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BO Wallet</w:t>
        </w:r>
      </w:hyperlink>
      <w:r>
        <w:rPr>
          <w:rFonts w:eastAsia="等线" w:ascii="Arial" w:cs="Arial" w:hAnsi="Arial"/>
          <w:sz w:val="22"/>
        </w:rPr>
        <w:t>：官方钱包。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测试网 Faucet</w:t>
        </w:r>
      </w:hyperlink>
      <w:r>
        <w:rPr>
          <w:rFonts w:eastAsia="等线" w:ascii="Arial" w:cs="Arial" w:hAnsi="Arial"/>
          <w:sz w:val="22"/>
        </w:rPr>
        <w:t>：领取测试网代币。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主网连接信息：</w:t>
      </w:r>
      <w:r>
        <w:rPr>
          <w:rFonts w:eastAsia="等线" w:ascii="Arial" w:cs="Arial" w:hAnsi="Arial"/>
          <w:sz w:val="22"/>
        </w:rPr>
        <w:t xml:space="preserve">Chain ID 为 </w:t>
      </w:r>
      <w:r>
        <w:rPr>
          <w:rFonts w:eastAsia="等线" w:ascii="Arial" w:cs="Arial" w:hAnsi="Arial"/>
          <w:b w:val="true"/>
          <w:sz w:val="22"/>
        </w:rPr>
        <w:t>677</w:t>
      </w:r>
      <w:r>
        <w:rPr>
          <w:rFonts w:eastAsia="等线" w:ascii="Arial" w:cs="Arial" w:hAnsi="Arial"/>
          <w:sz w:val="22"/>
        </w:rPr>
        <w:t xml:space="preserve">，原生代币为 </w:t>
      </w:r>
      <w:r>
        <w:rPr>
          <w:rFonts w:eastAsia="等线" w:ascii="Arial" w:cs="Arial" w:hAnsi="Arial"/>
          <w:b w:val="true"/>
          <w:sz w:val="22"/>
        </w:rPr>
        <w:t>BOT</w:t>
      </w:r>
      <w:r>
        <w:rPr>
          <w:rFonts w:eastAsia="等线" w:ascii="Arial" w:cs="Arial" w:hAnsi="Arial"/>
          <w:sz w:val="22"/>
        </w:rPr>
        <w:t xml:space="preserve">，RPC 为 </w:t>
      </w:r>
      <w:hyperlink r:id="rId33">
        <w:r>
          <w:rPr>
            <w:rFonts w:eastAsia="等线" w:ascii="Arial" w:cs="Arial" w:hAnsi="Arial"/>
            <w:color w:val="3370ff"/>
            <w:sz w:val="22"/>
          </w:rPr>
          <w:t>https://rpc.botchain.ai</w:t>
        </w:r>
      </w:hyperlink>
      <w:r>
        <w:rPr>
          <w:rFonts w:eastAsia="等线" w:ascii="Arial" w:cs="Arial" w:hAnsi="Arial"/>
          <w:sz w:val="22"/>
        </w:rPr>
        <w:t>。请注意，Faucet 提供的是测试网代币；开发时请按官方文档区分主网与测试网配置。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5.2 交付物要求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作品形态不限，可为 Agent、App、Web 应用或小程序等，</w:t>
      </w:r>
      <w:r>
        <w:rPr>
          <w:rFonts w:eastAsia="等线" w:ascii="Arial" w:cs="Arial" w:hAnsi="Arial"/>
          <w:b w:val="true"/>
          <w:sz w:val="22"/>
        </w:rPr>
        <w:t>须能够实际运行，并提供可体验的交互方式。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已有项目参赛及沿用代码、素材和第三方组件的使用规则，见</w:t>
      </w:r>
      <w:hyperlink r:id="rId34">
        <w:r>
          <w:rPr>
            <w:rFonts w:eastAsia="等线" w:ascii="Arial" w:cs="Arial" w:hAnsi="Arial"/>
            <w:color w:val="3370ff"/>
            <w:sz w:val="22"/>
          </w:rPr>
          <w:t>第 1 节“基本信息”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提交时，请准备好以下材料：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项目介绍：</w:t>
      </w:r>
      <w:r>
        <w:rPr>
          <w:rFonts w:eastAsia="等线" w:ascii="Arial" w:cs="Arial" w:hAnsi="Arial"/>
          <w:sz w:val="22"/>
        </w:rPr>
        <w:t>队名与成员、项目名称、目标用户、解决的问题、核心功能，以及比赛期间完成的工作。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代码与运行说明：</w:t>
      </w:r>
      <w:r>
        <w:rPr>
          <w:rFonts w:eastAsia="等线" w:ascii="Arial" w:cs="Arial" w:hAnsi="Arial"/>
          <w:sz w:val="22"/>
        </w:rPr>
        <w:t>代码仓库、环境依赖、启动步骤和使用方法，并注明沿用组件的来源。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演示材料：</w:t>
      </w:r>
      <w:r>
        <w:rPr>
          <w:rFonts w:eastAsia="等线" w:ascii="Arial" w:cs="Arial" w:hAnsi="Arial"/>
          <w:sz w:val="22"/>
        </w:rPr>
        <w:t>演示视频或可运行链接，展示核心功能和主要使用流程。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 BOT Chain 主网部署协作的项目</w:t>
      </w:r>
      <w:r>
        <w:rPr>
          <w:rFonts w:eastAsia="等线" w:ascii="Arial" w:cs="Arial" w:hAnsi="Arial"/>
          <w:sz w:val="22"/>
        </w:rPr>
        <w:t xml:space="preserve">，还需在上述材料基础上补充可核验的 </w:t>
      </w:r>
      <w:r>
        <w:rPr>
          <w:rFonts w:eastAsia="等线" w:ascii="Arial" w:cs="Arial" w:hAnsi="Arial"/>
          <w:b w:val="true"/>
          <w:sz w:val="22"/>
        </w:rPr>
        <w:t>BOT Chain Mainnet 区块浏览器链接、交易记录，以及适用的合约或应用地址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工作人员将汇总部署材料，由主办方与 BOT Chain 共同核验。需要进一步核实的项目，可通过团队演示或补充证明材料完成确认。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5.3 项目材料与作品提交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请按 </w:t>
      </w:r>
      <w:hyperlink r:id="rId35">
        <w:r>
          <w:rPr>
            <w:rFonts w:eastAsia="等线" w:ascii="Arial" w:cs="Arial" w:hAnsi="Arial"/>
            <w:color w:val="3370ff"/>
            <w:sz w:val="22"/>
          </w:rPr>
          <w:t>5.2 交付物要求</w:t>
        </w:r>
      </w:hyperlink>
      <w:r>
        <w:rPr>
          <w:rFonts w:eastAsia="等线" w:ascii="Arial" w:cs="Arial" w:hAnsi="Arial"/>
          <w:sz w:val="22"/>
        </w:rPr>
        <w:t xml:space="preserve"> 准备材料。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作品提交截止时间为 2026 年 10 月 8 日 12:00（北京时间）。</w:t>
      </w:r>
      <w:r>
        <w:rPr>
          <w:rFonts w:eastAsia="等线" w:ascii="Arial" w:cs="Arial" w:hAnsi="Arial"/>
          <w:sz w:val="22"/>
        </w:rPr>
        <w:t>请提前准备材料，并预留上传和检查链接的时间。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提交前检查：</w:t>
            </w:r>
            <w:r>
              <w:rPr>
                <w:rFonts w:eastAsia="等线" w:ascii="Arial" w:cs="Arial" w:hAnsi="Arial"/>
                <w:sz w:val="22"/>
              </w:rPr>
              <w:t>确认材料齐全、链接可访问、作品可运行，并注明活动期间新增内容。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提交入口待公布，将在本节及选手群同步。如果遇到提交异常，请及时联系工作人员登记处理。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6 评审机制与维度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本届拟采用</w:t>
      </w:r>
      <w:r>
        <w:rPr>
          <w:rFonts w:eastAsia="等线" w:ascii="Arial" w:cs="Arial" w:hAnsi="Arial"/>
          <w:b w:val="true"/>
          <w:sz w:val="22"/>
        </w:rPr>
        <w:t>全体项目展示＋重点项目终评</w:t>
      </w:r>
      <w:r>
        <w:rPr>
          <w:rFonts w:eastAsia="等线" w:ascii="Arial" w:cs="Arial" w:hAnsi="Arial"/>
          <w:sz w:val="22"/>
        </w:rPr>
        <w:t xml:space="preserve">两步评审。提交材料要求见 </w:t>
      </w:r>
      <w:hyperlink r:id="rId36">
        <w:r>
          <w:rPr>
            <w:rFonts w:eastAsia="等线" w:ascii="Arial" w:cs="Arial" w:hAnsi="Arial"/>
            <w:color w:val="3370ff"/>
            <w:sz w:val="22"/>
          </w:rPr>
          <w:t>5.2 交付物要求</w:t>
        </w:r>
      </w:hyperlink>
      <w:r>
        <w:rPr>
          <w:rFonts w:eastAsia="等线" w:ascii="Arial" w:cs="Arial" w:hAnsi="Arial"/>
          <w:sz w:val="22"/>
        </w:rPr>
        <w:t xml:space="preserve">，展示与终评场地见选手手册 </w:t>
      </w:r>
      <w:hyperlink r:id="rId37">
        <w:r>
          <w:rPr>
            <w:rFonts w:eastAsia="等线" w:ascii="Arial" w:cs="Arial" w:hAnsi="Arial"/>
            <w:color w:val="3370ff"/>
            <w:sz w:val="22"/>
          </w:rPr>
          <w:t>4.5</w:t>
        </w:r>
      </w:hyperlink>
      <w:r>
        <w:rPr>
          <w:rFonts w:eastAsia="等线" w:ascii="Arial" w:cs="Arial" w:hAnsi="Arial"/>
          <w:sz w:val="22"/>
        </w:rPr>
        <w:t>、</w:t>
      </w:r>
      <w:hyperlink r:id="rId38">
        <w:r>
          <w:rPr>
            <w:rFonts w:eastAsia="等线" w:ascii="Arial" w:cs="Arial" w:hAnsi="Arial"/>
            <w:color w:val="3370ff"/>
            <w:sz w:val="22"/>
          </w:rPr>
          <w:t>4.6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6.1 评审机制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评审拟于 </w:t>
      </w:r>
      <w:r>
        <w:rPr>
          <w:rFonts w:eastAsia="等线" w:ascii="Arial" w:cs="Arial" w:hAnsi="Arial"/>
          <w:b w:val="true"/>
          <w:sz w:val="22"/>
        </w:rPr>
        <w:t>10 月 8 日下午</w:t>
      </w:r>
      <w:r>
        <w:rPr>
          <w:rFonts w:eastAsia="等线" w:ascii="Arial" w:cs="Arial" w:hAnsi="Arial"/>
          <w:sz w:val="22"/>
        </w:rPr>
        <w:t>进行，以下时间均为北京时间。具体分组、展示顺序及现场调整将在选手群或现场公告中说明。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805"/>
        <w:gridCol w:w="382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13:30–15:30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全体项目展示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分组轮评，每队约 6 分钟演示与问答，另预留约 2 分钟供评委记录或转场。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15:30–16:00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终评名单公布与设备测试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现场公布入围名单，入围团队按工作人员指引完成设备测试。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重点项目终评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拟最多 8 队参加，每队 4 分钟展示、3 分钟问答。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请提前测试设备与演示链接，在展示中说明项目解决的问题，演示主要使用流程，并清楚区分已实现的功能和后续计划。已有项目还需说明本次比赛完成了哪些新增工作。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6.2 通用评分维度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通用评分包含以下五个维度，</w:t>
      </w:r>
      <w:r>
        <w:rPr>
          <w:rFonts w:eastAsia="等线" w:ascii="Arial" w:cs="Arial" w:hAnsi="Arial"/>
          <w:b w:val="true"/>
          <w:sz w:val="22"/>
        </w:rPr>
        <w:t>每项占 20%，合计 100%</w:t>
      </w:r>
      <w:r>
        <w:rPr>
          <w:rFonts w:eastAsia="等线" w:ascii="Arial" w:cs="Arial" w:hAnsi="Arial"/>
          <w:sz w:val="22"/>
        </w:rPr>
        <w:t>。评委将结合实际演示、提交材料和现场问答进行判断。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4575"/>
        <w:gridCol w:w="1365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评审关注点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技术完成度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核心功能能否实际运行，主要流程是否完整，演示能否反映作品的实际能力。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是否在解决思路、技术应用、功能设计或产品体验上提出有价值的改进。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场景价值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目标用户与问题是否明确，作品是否回应真实需求，并体现实际使用价值。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赛道结合度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是否回应所选赛道的核心问题，相关技术与赛道要求是否体现在作品的实际功能中。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表达质量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能否清楚说明项目、展示核心功能，并结合事实与证据回答评委提问。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6.3 赛道要求与评审说明</w:t>
      </w:r>
      <w:bookmarkEnd w:id="37"/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5.1 中的赛题要求</w:t>
        </w:r>
      </w:hyperlink>
      <w:r>
        <w:rPr>
          <w:rFonts w:eastAsia="等线" w:ascii="Arial" w:cs="Arial" w:hAnsi="Arial"/>
          <w:sz w:val="22"/>
        </w:rPr>
        <w:t>用于明确评委在具体场景下关注的内容。</w:t>
      </w:r>
      <w:r>
        <w:rPr>
          <w:rFonts w:eastAsia="等线" w:ascii="Arial" w:cs="Arial" w:hAnsi="Arial"/>
          <w:b w:val="true"/>
          <w:sz w:val="22"/>
        </w:rPr>
        <w:t>在通用评分中，这些要求作为上述维度的判断依据，不另行叠加权重。</w:t>
      </w:r>
      <w:r>
        <w:rPr>
          <w:rFonts w:eastAsia="等线" w:ascii="Arial" w:cs="Arial" w:hAnsi="Arial"/>
          <w:sz w:val="22"/>
        </w:rPr>
        <w:t>分赛道奖项按对应赛道规则和评审要求评选；如有独立的评分细则，将在评审前通过赛道说明及选手群明确。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 Chain 分赛道：</w:t>
      </w:r>
      <w:r>
        <w:rPr>
          <w:rFonts w:eastAsia="等线" w:ascii="Arial" w:cs="Arial" w:hAnsi="Arial"/>
          <w:sz w:val="22"/>
        </w:rPr>
        <w:t xml:space="preserve">主网部署核验见 </w:t>
      </w:r>
      <w:hyperlink r:id="rId40">
        <w:r>
          <w:rPr>
            <w:rFonts w:eastAsia="等线" w:ascii="Arial" w:cs="Arial" w:hAnsi="Arial"/>
            <w:color w:val="3370ff"/>
            <w:sz w:val="22"/>
          </w:rPr>
          <w:t>5.2</w:t>
        </w:r>
      </w:hyperlink>
      <w:r>
        <w:rPr>
          <w:rFonts w:eastAsia="等线" w:ascii="Arial" w:cs="Arial" w:hAnsi="Arial"/>
          <w:sz w:val="22"/>
        </w:rPr>
        <w:t>，获奖评审依据赛道规则进行。完成部署不直接代表获奖，主办方的整体部署数量目标不作为单个项目的评分指标。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评审独立：</w:t>
      </w:r>
      <w:r>
        <w:rPr>
          <w:rFonts w:eastAsia="等线" w:ascii="Arial" w:cs="Arial" w:hAnsi="Arial"/>
          <w:sz w:val="22"/>
        </w:rPr>
        <w:t>合作方提供的 Gas、工具或其他资源支持不直接影响评分与奖项。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材料使用：</w:t>
      </w:r>
      <w:r>
        <w:rPr>
          <w:rFonts w:eastAsia="等线" w:ascii="Arial" w:cs="Arial" w:hAnsi="Arial"/>
          <w:sz w:val="22"/>
        </w:rPr>
        <w:t>项目材料的分享范围尊重团队授权；涉及赛后项目或人才对接时，将另行征得相关团队及人员的必要授权。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7 奖项与奖金</w:t>
      </w:r>
      <w:bookmarkEnd w:id="38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奖金合计 2000 U，另有获奖选手大礼包。分赛道可多选，获奖可兼容。</w:t>
            </w:r>
            <w:r>
              <w:rPr>
                <w:rFonts w:eastAsia="等线" w:ascii="Arial" w:cs="Arial" w:hAnsi="Arial"/>
                <w:sz w:val="22"/>
              </w:rPr>
              <w:t>具体评选与发放方式待公布。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45"/>
        <w:gridCol w:w="3315"/>
        <w:gridCol w:w="1920"/>
      </w:tblGrid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奖金与名额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奖金小计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 U × 1＋桃岸【冠军大礼包】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3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公共物品分赛道优胜奖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Botchain 分赛道冠军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 × 1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Botchain 分赛道提名奖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不超过 11 支队伍获奖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 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赛后将对有持续开发意愿的项目开展资源对接；具体合作、孵化或入驻事项另行沟通。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7.1 桃岸 Homebar 选手礼包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所有获奖选手都会获得桃岸【入围礼包】，冠军队伍获得【冠军大礼包】。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465"/>
        <w:gridCol w:w="348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权益内容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冠军大礼包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冠军队伍 6 人免票权益；布鲁大师套餐 1 份（布鲁大师 1 瓶、百威啤酒 12 瓶、佐酒小食 4 份）；本人两个月门票 6 折权益；免费调制鸡尾酒 3 杯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免票可同场或分次使用。套餐可与免票同场使用，仅能一次核销，限堂食，不可打包或折现。鸡尾酒不可与免票同场使用，可同次或分次使用。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入围礼包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桃岸双人门票 1 份；本人一个月门票 6 折权益；免费小吃 2 份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双人门票无时段限制，可携同伴。小吃不可与免票同场使用，可同次或分次使用。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礼包适用桃岸全国门店。门票折扣权益按各礼包标注的一个月或两个月执行，无时段限制；其余权益自发放之日起两个月内有效。具体领取与核销方式由工作人员说明。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8 其他</w:t>
      </w:r>
      <w:bookmarkEnd w:id="4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赛场 Wi-Fi 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现场提供开发用电与网络支持；</w:t>
            </w:r>
            <w:r>
              <w:rPr>
                <w:rFonts w:eastAsia="等线" w:ascii="Arial" w:cs="Arial" w:hAnsi="Arial"/>
                <w:b w:val="true"/>
                <w:sz w:val="22"/>
              </w:rPr>
              <w:t>Wi-Fi 名称与密码待公布</w:t>
            </w:r>
            <w:r>
              <w:rPr>
                <w:rFonts w:eastAsia="等线" w:ascii="Arial" w:cs="Arial" w:hAnsi="Arial"/>
                <w:sz w:val="22"/>
              </w:rPr>
              <w:t>，将在此更新。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到场后请先完成设备联网检查；</w:t>
            </w:r>
            <w:r>
              <w:rPr>
                <w:rFonts w:eastAsia="等线" w:ascii="Arial" w:cs="Arial" w:hAnsi="Arial"/>
                <w:b w:val="true"/>
                <w:sz w:val="22"/>
              </w:rPr>
              <w:t>建议自备手机热点作为备用网络。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如遇网络异常，请联系现场工作人员。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现场帮助：</w:t>
      </w:r>
      <w:r>
        <w:rPr>
          <w:rFonts w:eastAsia="等线" w:ascii="Arial" w:cs="Arial" w:hAnsi="Arial"/>
          <w:sz w:val="22"/>
        </w:rPr>
        <w:t>签到、组队、提交异常及生活服务问题可联系现场服务点或选手咨询群。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紧急联系人：华一明 15551771305 微信：huayimingH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 xml:space="preserve"> 8</w:t>
      </w:r>
      <w:r>
        <w:rPr>
          <w:rFonts w:eastAsia="等线" w:ascii="Arial" w:cs="Arial" w:hAnsi="Arial"/>
          <w:b w:val="true"/>
          <w:sz w:val="32"/>
        </w:rPr>
        <w:t>.1</w:t>
      </w:r>
      <w:r>
        <w:rPr>
          <w:rFonts w:eastAsia="等线" w:ascii="Arial" w:cs="Arial" w:hAnsi="Arial"/>
          <w:b w:val="true"/>
          <w:sz w:val="32"/>
        </w:rPr>
        <w:t xml:space="preserve"> 录取通知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本通知书用于请假或证明材料，请发送给 @九霄 盖章后生效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[汉客松S1_ETHwuhan2026_录取通知书.docx]</w:t>
      </w:r>
    </w:p>
    <w:sectPr>
      <w:footerReference w:type="default" r:id="rId3"/>
      <w:headerReference w:type="default" r:id="rId4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7245">
    <w:lvl>
      <w:numFmt w:val="bullet"/>
      <w:suff w:val="tab"/>
      <w:lvlText w:val="•"/>
      <w:rPr>
        <w:color w:val="3370ff"/>
      </w:rPr>
    </w:lvl>
  </w:abstractNum>
  <w:abstractNum w:abstractNumId="457246">
    <w:lvl>
      <w:numFmt w:val="bullet"/>
      <w:suff w:val="tab"/>
      <w:lvlText w:val="•"/>
      <w:rPr>
        <w:color w:val="3370ff"/>
      </w:rPr>
    </w:lvl>
  </w:abstractNum>
  <w:abstractNum w:abstractNumId="457247">
    <w:lvl>
      <w:numFmt w:val="bullet"/>
      <w:suff w:val="tab"/>
      <w:lvlText w:val="•"/>
      <w:rPr>
        <w:color w:val="3370ff"/>
      </w:rPr>
    </w:lvl>
  </w:abstractNum>
  <w:abstractNum w:abstractNumId="457248">
    <w:lvl>
      <w:numFmt w:val="bullet"/>
      <w:suff w:val="tab"/>
      <w:lvlText w:val="•"/>
      <w:rPr>
        <w:color w:val="3370ff"/>
      </w:rPr>
    </w:lvl>
  </w:abstractNum>
  <w:abstractNum w:abstractNumId="457249">
    <w:lvl>
      <w:numFmt w:val="bullet"/>
      <w:suff w:val="tab"/>
      <w:lvlText w:val="•"/>
      <w:rPr>
        <w:color w:val="3370ff"/>
      </w:rPr>
    </w:lvl>
  </w:abstractNum>
  <w:abstractNum w:abstractNumId="457250">
    <w:lvl>
      <w:numFmt w:val="bullet"/>
      <w:suff w:val="tab"/>
      <w:lvlText w:val="•"/>
      <w:rPr>
        <w:color w:val="3370ff"/>
      </w:rPr>
    </w:lvl>
  </w:abstractNum>
  <w:abstractNum w:abstractNumId="457251">
    <w:lvl>
      <w:numFmt w:val="bullet"/>
      <w:suff w:val="tab"/>
      <w:lvlText w:val="•"/>
      <w:rPr>
        <w:color w:val="3370ff"/>
      </w:rPr>
    </w:lvl>
  </w:abstractNum>
  <w:abstractNum w:abstractNumId="457252">
    <w:lvl>
      <w:numFmt w:val="bullet"/>
      <w:suff w:val="tab"/>
      <w:lvlText w:val="•"/>
      <w:rPr>
        <w:color w:val="3370ff"/>
      </w:rPr>
    </w:lvl>
  </w:abstractNum>
  <w:abstractNum w:abstractNumId="457253">
    <w:lvl>
      <w:numFmt w:val="bullet"/>
      <w:suff w:val="tab"/>
      <w:lvlText w:val="•"/>
      <w:rPr>
        <w:color w:val="3370ff"/>
      </w:rPr>
    </w:lvl>
  </w:abstractNum>
  <w:abstractNum w:abstractNumId="457254">
    <w:lvl>
      <w:numFmt w:val="bullet"/>
      <w:suff w:val="tab"/>
      <w:lvlText w:val="•"/>
      <w:rPr>
        <w:color w:val="3370ff"/>
      </w:rPr>
    </w:lvl>
  </w:abstractNum>
  <w:abstractNum w:abstractNumId="457255">
    <w:lvl>
      <w:numFmt w:val="bullet"/>
      <w:suff w:val="tab"/>
      <w:lvlText w:val="•"/>
      <w:rPr>
        <w:color w:val="3370ff"/>
      </w:rPr>
    </w:lvl>
  </w:abstractNum>
  <w:abstractNum w:abstractNumId="457256">
    <w:lvl>
      <w:numFmt w:val="bullet"/>
      <w:suff w:val="tab"/>
      <w:lvlText w:val="•"/>
      <w:rPr>
        <w:color w:val="3370ff"/>
      </w:rPr>
    </w:lvl>
  </w:abstractNum>
  <w:abstractNum w:abstractNumId="457257">
    <w:lvl>
      <w:numFmt w:val="bullet"/>
      <w:suff w:val="tab"/>
      <w:lvlText w:val="•"/>
      <w:rPr>
        <w:color w:val="3370ff"/>
      </w:rPr>
    </w:lvl>
  </w:abstractNum>
  <w:abstractNum w:abstractNumId="457258">
    <w:lvl>
      <w:numFmt w:val="bullet"/>
      <w:suff w:val="tab"/>
      <w:lvlText w:val="•"/>
      <w:rPr>
        <w:color w:val="3370ff"/>
      </w:rPr>
    </w:lvl>
  </w:abstractNum>
  <w:abstractNum w:abstractNumId="457259">
    <w:lvl>
      <w:numFmt w:val="bullet"/>
      <w:suff w:val="tab"/>
      <w:lvlText w:val="•"/>
      <w:rPr>
        <w:color w:val="3370ff"/>
      </w:rPr>
    </w:lvl>
  </w:abstractNum>
  <w:abstractNum w:abstractNumId="457260">
    <w:lvl>
      <w:numFmt w:val="bullet"/>
      <w:suff w:val="tab"/>
      <w:lvlText w:val="•"/>
      <w:rPr>
        <w:color w:val="3370ff"/>
      </w:rPr>
    </w:lvl>
  </w:abstractNum>
  <w:abstractNum w:abstractNumId="457261">
    <w:lvl>
      <w:numFmt w:val="bullet"/>
      <w:suff w:val="tab"/>
      <w:lvlText w:val="•"/>
      <w:rPr>
        <w:color w:val="3370ff"/>
      </w:rPr>
    </w:lvl>
  </w:abstractNum>
  <w:abstractNum w:abstractNumId="457262">
    <w:lvl>
      <w:numFmt w:val="bullet"/>
      <w:suff w:val="tab"/>
      <w:lvlText w:val="•"/>
      <w:rPr>
        <w:color w:val="3370ff"/>
      </w:rPr>
    </w:lvl>
  </w:abstractNum>
  <w:abstractNum w:abstractNumId="457263">
    <w:lvl>
      <w:numFmt w:val="bullet"/>
      <w:suff w:val="tab"/>
      <w:lvlText w:val="•"/>
      <w:rPr>
        <w:color w:val="3370ff"/>
      </w:rPr>
    </w:lvl>
  </w:abstractNum>
  <w:abstractNum w:abstractNumId="457264">
    <w:lvl>
      <w:numFmt w:val="bullet"/>
      <w:suff w:val="tab"/>
      <w:lvlText w:val="•"/>
      <w:rPr>
        <w:color w:val="3370ff"/>
      </w:rPr>
    </w:lvl>
  </w:abstractNum>
  <w:abstractNum w:abstractNumId="457265">
    <w:lvl>
      <w:numFmt w:val="bullet"/>
      <w:suff w:val="tab"/>
      <w:lvlText w:val="•"/>
      <w:rPr>
        <w:color w:val="3370ff"/>
      </w:rPr>
    </w:lvl>
  </w:abstractNum>
  <w:abstractNum w:abstractNumId="457266">
    <w:lvl>
      <w:numFmt w:val="bullet"/>
      <w:suff w:val="tab"/>
      <w:lvlText w:val="•"/>
      <w:rPr>
        <w:color w:val="3370ff"/>
      </w:rPr>
    </w:lvl>
  </w:abstractNum>
  <w:abstractNum w:abstractNumId="457267">
    <w:lvl>
      <w:numFmt w:val="bullet"/>
      <w:suff w:val="tab"/>
      <w:lvlText w:val="•"/>
      <w:rPr>
        <w:color w:val="3370ff"/>
      </w:rPr>
    </w:lvl>
  </w:abstractNum>
  <w:abstractNum w:abstractNumId="457268">
    <w:lvl>
      <w:numFmt w:val="bullet"/>
      <w:suff w:val="tab"/>
      <w:lvlText w:val="•"/>
      <w:rPr>
        <w:color w:val="3370ff"/>
      </w:rPr>
    </w:lvl>
  </w:abstractNum>
  <w:abstractNum w:abstractNumId="457269">
    <w:lvl>
      <w:numFmt w:val="bullet"/>
      <w:suff w:val="tab"/>
      <w:lvlText w:val="•"/>
      <w:rPr>
        <w:color w:val="3370ff"/>
      </w:rPr>
    </w:lvl>
  </w:abstractNum>
  <w:abstractNum w:abstractNumId="457270">
    <w:lvl>
      <w:numFmt w:val="bullet"/>
      <w:suff w:val="tab"/>
      <w:lvlText w:val="•"/>
      <w:rPr>
        <w:color w:val="3370ff"/>
      </w:rPr>
    </w:lvl>
  </w:abstractNum>
  <w:abstractNum w:abstractNumId="457271">
    <w:lvl>
      <w:numFmt w:val="bullet"/>
      <w:suff w:val="tab"/>
      <w:lvlText w:val="•"/>
      <w:rPr>
        <w:color w:val="3370ff"/>
      </w:rPr>
    </w:lvl>
  </w:abstractNum>
  <w:abstractNum w:abstractNumId="457272">
    <w:lvl>
      <w:numFmt w:val="bullet"/>
      <w:suff w:val="tab"/>
      <w:lvlText w:val="•"/>
      <w:rPr>
        <w:color w:val="3370ff"/>
      </w:rPr>
    </w:lvl>
  </w:abstractNum>
  <w:abstractNum w:abstractNumId="457273">
    <w:lvl>
      <w:numFmt w:val="bullet"/>
      <w:suff w:val="tab"/>
      <w:lvlText w:val="•"/>
      <w:rPr>
        <w:color w:val="3370ff"/>
      </w:rPr>
    </w:lvl>
  </w:abstractNum>
  <w:abstractNum w:abstractNumId="457274">
    <w:lvl>
      <w:numFmt w:val="bullet"/>
      <w:suff w:val="tab"/>
      <w:lvlText w:val="•"/>
      <w:rPr>
        <w:color w:val="3370ff"/>
      </w:rPr>
    </w:lvl>
  </w:abstractNum>
  <w:abstractNum w:abstractNumId="457275">
    <w:lvl>
      <w:numFmt w:val="bullet"/>
      <w:suff w:val="tab"/>
      <w:lvlText w:val="•"/>
      <w:rPr>
        <w:color w:val="3370ff"/>
      </w:rPr>
    </w:lvl>
  </w:abstractNum>
  <w:abstractNum w:abstractNumId="457276">
    <w:lvl>
      <w:numFmt w:val="bullet"/>
      <w:suff w:val="tab"/>
      <w:lvlText w:val="•"/>
      <w:rPr>
        <w:color w:val="3370ff"/>
      </w:rPr>
    </w:lvl>
  </w:abstractNum>
  <w:abstractNum w:abstractNumId="457277">
    <w:lvl>
      <w:numFmt w:val="bullet"/>
      <w:suff w:val="tab"/>
      <w:lvlText w:val="•"/>
      <w:rPr>
        <w:color w:val="3370ff"/>
      </w:rPr>
    </w:lvl>
  </w:abstractNum>
  <w:abstractNum w:abstractNumId="457278">
    <w:lvl>
      <w:numFmt w:val="bullet"/>
      <w:suff w:val="tab"/>
      <w:lvlText w:val="•"/>
      <w:rPr>
        <w:color w:val="3370ff"/>
      </w:rPr>
    </w:lvl>
  </w:abstractNum>
  <w:abstractNum w:abstractNumId="457279">
    <w:lvl>
      <w:numFmt w:val="bullet"/>
      <w:suff w:val="tab"/>
      <w:lvlText w:val="•"/>
      <w:rPr>
        <w:color w:val="3370ff"/>
      </w:rPr>
    </w:lvl>
  </w:abstractNum>
  <w:abstractNum w:abstractNumId="457280">
    <w:lvl>
      <w:numFmt w:val="bullet"/>
      <w:suff w:val="tab"/>
      <w:lvlText w:val="•"/>
      <w:rPr>
        <w:color w:val="3370ff"/>
      </w:rPr>
    </w:lvl>
  </w:abstractNum>
  <w:abstractNum w:abstractNumId="457281">
    <w:lvl>
      <w:numFmt w:val="bullet"/>
      <w:suff w:val="tab"/>
      <w:lvlText w:val="•"/>
      <w:rPr>
        <w:color w:val="3370ff"/>
      </w:rPr>
    </w:lvl>
  </w:abstractNum>
  <w:abstractNum w:abstractNumId="457282">
    <w:lvl>
      <w:numFmt w:val="bullet"/>
      <w:suff w:val="tab"/>
      <w:lvlText w:val="•"/>
      <w:rPr>
        <w:color w:val="3370ff"/>
      </w:rPr>
    </w:lvl>
  </w:abstractNum>
  <w:abstractNum w:abstractNumId="457283">
    <w:lvl>
      <w:numFmt w:val="bullet"/>
      <w:suff w:val="tab"/>
      <w:lvlText w:val="•"/>
      <w:rPr>
        <w:color w:val="3370ff"/>
      </w:rPr>
    </w:lvl>
  </w:abstractNum>
  <w:abstractNum w:abstractNumId="457284">
    <w:lvl>
      <w:numFmt w:val="bullet"/>
      <w:suff w:val="tab"/>
      <w:lvlText w:val="•"/>
      <w:rPr>
        <w:color w:val="3370ff"/>
      </w:rPr>
    </w:lvl>
  </w:abstractNum>
  <w:abstractNum w:abstractNumId="457285">
    <w:lvl>
      <w:numFmt w:val="bullet"/>
      <w:suff w:val="tab"/>
      <w:lvlText w:val="•"/>
      <w:rPr>
        <w:color w:val="3370ff"/>
      </w:rPr>
    </w:lvl>
  </w:abstractNum>
  <w:abstractNum w:abstractNumId="457286">
    <w:lvl>
      <w:numFmt w:val="bullet"/>
      <w:suff w:val="tab"/>
      <w:lvlText w:val="•"/>
      <w:rPr>
        <w:color w:val="3370ff"/>
      </w:rPr>
    </w:lvl>
  </w:abstractNum>
  <w:abstractNum w:abstractNumId="457287">
    <w:lvl>
      <w:numFmt w:val="bullet"/>
      <w:suff w:val="tab"/>
      <w:lvlText w:val="•"/>
      <w:rPr>
        <w:color w:val="3370ff"/>
      </w:rPr>
    </w:lvl>
  </w:abstractNum>
  <w:abstractNum w:abstractNumId="457288">
    <w:lvl>
      <w:numFmt w:val="bullet"/>
      <w:suff w:val="tab"/>
      <w:lvlText w:val="•"/>
      <w:rPr>
        <w:color w:val="3370ff"/>
      </w:rPr>
    </w:lvl>
  </w:abstractNum>
  <w:abstractNum w:abstractNumId="457289">
    <w:lvl>
      <w:numFmt w:val="bullet"/>
      <w:suff w:val="tab"/>
      <w:lvlText w:val="•"/>
      <w:rPr>
        <w:color w:val="3370ff"/>
      </w:rPr>
    </w:lvl>
  </w:abstractNum>
  <w:abstractNum w:abstractNumId="457290">
    <w:lvl>
      <w:numFmt w:val="bullet"/>
      <w:suff w:val="tab"/>
      <w:lvlText w:val="•"/>
      <w:rPr>
        <w:color w:val="3370ff"/>
      </w:rPr>
    </w:lvl>
  </w:abstractNum>
  <w:abstractNum w:abstractNumId="457291">
    <w:lvl>
      <w:numFmt w:val="bullet"/>
      <w:suff w:val="tab"/>
      <w:lvlText w:val="•"/>
      <w:rPr>
        <w:color w:val="3370ff"/>
      </w:rPr>
    </w:lvl>
  </w:abstractNum>
  <w:abstractNum w:abstractNumId="457292">
    <w:lvl>
      <w:numFmt w:val="bullet"/>
      <w:suff w:val="tab"/>
      <w:lvlText w:val="•"/>
      <w:rPr>
        <w:color w:val="3370ff"/>
      </w:rPr>
    </w:lvl>
  </w:abstractNum>
  <w:abstractNum w:abstractNumId="457293">
    <w:lvl>
      <w:numFmt w:val="bullet"/>
      <w:suff w:val="tab"/>
      <w:lvlText w:val="•"/>
      <w:rPr>
        <w:color w:val="3370ff"/>
      </w:rPr>
    </w:lvl>
  </w:abstractNum>
  <w:abstractNum w:abstractNumId="457294">
    <w:lvl>
      <w:numFmt w:val="bullet"/>
      <w:suff w:val="tab"/>
      <w:lvlText w:val="•"/>
      <w:rPr>
        <w:color w:val="3370ff"/>
      </w:rPr>
    </w:lvl>
  </w:abstractNum>
  <w:abstractNum w:abstractNumId="457295">
    <w:lvl>
      <w:start w:val="1"/>
      <w:numFmt w:val="decimal"/>
      <w:suff w:val="tab"/>
      <w:lvlText w:val="%1."/>
      <w:rPr>
        <w:color w:val="3370ff"/>
      </w:rPr>
    </w:lvl>
  </w:abstractNum>
  <w:abstractNum w:abstractNumId="457296">
    <w:lvl>
      <w:start w:val="2"/>
      <w:numFmt w:val="decimal"/>
      <w:suff w:val="tab"/>
      <w:lvlText w:val="%1."/>
      <w:rPr>
        <w:color w:val="3370ff"/>
      </w:rPr>
    </w:lvl>
  </w:abstractNum>
  <w:abstractNum w:abstractNumId="45729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57245"/>
  </w:num>
  <w:num w:numId="2">
    <w:abstractNumId w:val="457246"/>
  </w:num>
  <w:num w:numId="3">
    <w:abstractNumId w:val="457247"/>
  </w:num>
  <w:num w:numId="4">
    <w:abstractNumId w:val="457248"/>
  </w:num>
  <w:num w:numId="5">
    <w:abstractNumId w:val="457249"/>
  </w:num>
  <w:num w:numId="6">
    <w:abstractNumId w:val="457250"/>
  </w:num>
  <w:num w:numId="7">
    <w:abstractNumId w:val="457251"/>
  </w:num>
  <w:num w:numId="8">
    <w:abstractNumId w:val="457252"/>
  </w:num>
  <w:num w:numId="9">
    <w:abstractNumId w:val="457253"/>
  </w:num>
  <w:num w:numId="10">
    <w:abstractNumId w:val="457254"/>
  </w:num>
  <w:num w:numId="11">
    <w:abstractNumId w:val="457255"/>
  </w:num>
  <w:num w:numId="12">
    <w:abstractNumId w:val="457256"/>
  </w:num>
  <w:num w:numId="13">
    <w:abstractNumId w:val="457257"/>
  </w:num>
  <w:num w:numId="14">
    <w:abstractNumId w:val="457258"/>
  </w:num>
  <w:num w:numId="15">
    <w:abstractNumId w:val="457259"/>
  </w:num>
  <w:num w:numId="16">
    <w:abstractNumId w:val="457260"/>
  </w:num>
  <w:num w:numId="17">
    <w:abstractNumId w:val="457261"/>
  </w:num>
  <w:num w:numId="18">
    <w:abstractNumId w:val="457262"/>
  </w:num>
  <w:num w:numId="19">
    <w:abstractNumId w:val="457263"/>
  </w:num>
  <w:num w:numId="20">
    <w:abstractNumId w:val="457264"/>
  </w:num>
  <w:num w:numId="21">
    <w:abstractNumId w:val="457265"/>
  </w:num>
  <w:num w:numId="22">
    <w:abstractNumId w:val="457266"/>
  </w:num>
  <w:num w:numId="23">
    <w:abstractNumId w:val="457267"/>
  </w:num>
  <w:num w:numId="24">
    <w:abstractNumId w:val="457268"/>
  </w:num>
  <w:num w:numId="25">
    <w:abstractNumId w:val="457269"/>
  </w:num>
  <w:num w:numId="26">
    <w:abstractNumId w:val="457270"/>
  </w:num>
  <w:num w:numId="27">
    <w:abstractNumId w:val="457271"/>
  </w:num>
  <w:num w:numId="28">
    <w:abstractNumId w:val="457272"/>
  </w:num>
  <w:num w:numId="29">
    <w:abstractNumId w:val="457273"/>
  </w:num>
  <w:num w:numId="30">
    <w:abstractNumId w:val="457274"/>
  </w:num>
  <w:num w:numId="31">
    <w:abstractNumId w:val="457275"/>
  </w:num>
  <w:num w:numId="32">
    <w:abstractNumId w:val="457276"/>
  </w:num>
  <w:num w:numId="33">
    <w:abstractNumId w:val="457277"/>
  </w:num>
  <w:num w:numId="34">
    <w:abstractNumId w:val="457278"/>
  </w:num>
  <w:num w:numId="35">
    <w:abstractNumId w:val="457279"/>
  </w:num>
  <w:num w:numId="36">
    <w:abstractNumId w:val="457280"/>
  </w:num>
  <w:num w:numId="37">
    <w:abstractNumId w:val="457281"/>
  </w:num>
  <w:num w:numId="38">
    <w:abstractNumId w:val="457282"/>
  </w:num>
  <w:num w:numId="39">
    <w:abstractNumId w:val="457283"/>
  </w:num>
  <w:num w:numId="40">
    <w:abstractNumId w:val="457284"/>
  </w:num>
  <w:num w:numId="41">
    <w:abstractNumId w:val="457285"/>
  </w:num>
  <w:num w:numId="42">
    <w:abstractNumId w:val="457286"/>
  </w:num>
  <w:num w:numId="43">
    <w:abstractNumId w:val="457287"/>
  </w:num>
  <w:num w:numId="44">
    <w:abstractNumId w:val="457288"/>
  </w:num>
  <w:num w:numId="45">
    <w:abstractNumId w:val="457289"/>
  </w:num>
  <w:num w:numId="46">
    <w:abstractNumId w:val="457290"/>
  </w:num>
  <w:num w:numId="47">
    <w:abstractNumId w:val="457291"/>
  </w:num>
  <w:num w:numId="48">
    <w:abstractNumId w:val="457292"/>
  </w:num>
  <w:num w:numId="49">
    <w:abstractNumId w:val="457293"/>
  </w:num>
  <w:num w:numId="50">
    <w:abstractNumId w:val="457294"/>
  </w:num>
  <w:num w:numId="51">
    <w:abstractNumId w:val="457295"/>
  </w:num>
  <w:num w:numId="52">
    <w:abstractNumId w:val="457296"/>
  </w:num>
  <w:num w:numId="53">
    <w:abstractNumId w:val="4572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https://tokenark.feishu.cn/docx/Vn3hdD7s6okrftx9583cYgganMg#doxcnrtR280xLU5gVrle6QTszqe" TargetMode="External" Type="http://schemas.openxmlformats.org/officeDocument/2006/relationships/hyperlink"/><Relationship Id="rId12" Target="media/image3.jpeg" Type="http://schemas.openxmlformats.org/officeDocument/2006/relationships/image"/><Relationship Id="rId13" Target="media/image4.jpeg" Type="http://schemas.openxmlformats.org/officeDocument/2006/relationships/image"/><Relationship Id="rId14" Target="media/image5.jpeg" Type="http://schemas.openxmlformats.org/officeDocument/2006/relationships/image"/><Relationship Id="rId15" Target="media/image6.jpeg" Type="http://schemas.openxmlformats.org/officeDocument/2006/relationships/image"/><Relationship Id="rId16" Target="https://tokenark.feishu.cn/docx/Vn3hdD7s6okrftx9583cYgganMg#doxcnkKqjuf3bvC4qGu6D60e02f" TargetMode="External" Type="http://schemas.openxmlformats.org/officeDocument/2006/relationships/hyperlink"/><Relationship Id="rId17" Target="https://tokenark.feishu.cn/docx/Vn3hdD7s6okrftx9583cYgganMg#doxcnRx1nRd63VXksV6HJSzSm9e" TargetMode="External" Type="http://schemas.openxmlformats.org/officeDocument/2006/relationships/hyperlink"/><Relationship Id="rId18" Target="https://tokenark.feishu.cn/docx/Vn3hdD7s6okrftx9583cYgganMg#doxcnEDI5H9uNl88mStCBAbtVSh" TargetMode="External" Type="http://schemas.openxmlformats.org/officeDocument/2006/relationships/hyperlink"/><Relationship Id="rId19" Target="https://eips.ethereum.org/EIPS/eip-8004" TargetMode="External" Type="http://schemas.openxmlformats.org/officeDocument/2006/relationships/hyperlink"/><Relationship Id="rId2" Target="styles.xml" Type="http://schemas.openxmlformats.org/officeDocument/2006/relationships/styles"/><Relationship Id="rId20" Target="https://botchain.notion.site/cn-bot" TargetMode="External" Type="http://schemas.openxmlformats.org/officeDocument/2006/relationships/hyperlink"/><Relationship Id="rId21" Target="https://tokenark.feishu.cn/docx/Vn3hdD7s6okrftx9583cYgganMg#doxcnekPBAjC2ALqhoON77rHEYb" TargetMode="External" Type="http://schemas.openxmlformats.org/officeDocument/2006/relationships/hyperlink"/><Relationship Id="rId22" Target="https://tokenark.feishu.cn/docx/Vn3hdD7s6okrftx9583cYgganMg#doxcnjvyGa7Ly99nZ6VPuo9vOxH" TargetMode="External" Type="http://schemas.openxmlformats.org/officeDocument/2006/relationships/hyperlink"/><Relationship Id="rId23" Target="https://x.com/BOTChain_ai/status/2074364796229792011?s=20" TargetMode="External" Type="http://schemas.openxmlformats.org/officeDocument/2006/relationships/hyperlink"/><Relationship Id="rId24" Target="https://dev-docs.botchain.ai/docs/Developers/quick-guide/" TargetMode="External" Type="http://schemas.openxmlformats.org/officeDocument/2006/relationships/hyperlink"/><Relationship Id="rId25" Target="https://docs.google.com/document/d/1xYzdfJlD08UOV9CKE3nV7NTSQg6lPz9B17aIW2NF5Wg/edit" TargetMode="External" Type="http://schemas.openxmlformats.org/officeDocument/2006/relationships/hyperlink"/><Relationship Id="rId26" Target="https://github.com/BOTChain-bot" TargetMode="External" Type="http://schemas.openxmlformats.org/officeDocument/2006/relationships/hyperlink"/><Relationship Id="rId27" Target="https://www.botchain.ai/" TargetMode="External" Type="http://schemas.openxmlformats.org/officeDocument/2006/relationships/hyperlink"/><Relationship Id="rId28" Target="https://scan.botchain.ai/" TargetMode="External" Type="http://schemas.openxmlformats.org/officeDocument/2006/relationships/hyperlink"/><Relationship Id="rId29" Target="https://bridge.botchain.ai/" TargetMode="External" Type="http://schemas.openxmlformats.org/officeDocument/2006/relationships/hyperlink"/><Relationship Id="rId3" Target="footer1.xml" Type="http://schemas.openxmlformats.org/officeDocument/2006/relationships/footer"/><Relationship Id="rId30" Target="https://dex.botchain.ai/" TargetMode="External" Type="http://schemas.openxmlformats.org/officeDocument/2006/relationships/hyperlink"/><Relationship Id="rId31" Target="https://wallet.botchain.ai/" TargetMode="External" Type="http://schemas.openxmlformats.org/officeDocument/2006/relationships/hyperlink"/><Relationship Id="rId32" Target="https://faucet.botchain.ai/zh/basic" TargetMode="External" Type="http://schemas.openxmlformats.org/officeDocument/2006/relationships/hyperlink"/><Relationship Id="rId33" Target="https://rpc.botchain.ai" TargetMode="External" Type="http://schemas.openxmlformats.org/officeDocument/2006/relationships/hyperlink"/><Relationship Id="rId34" Target="https://tokenark.feishu.cn/docx/Vn3hdD7s6okrftx9583cYgganMg#doxcnWuUcuDPr1RM9WdaEmCBhmg" TargetMode="External" Type="http://schemas.openxmlformats.org/officeDocument/2006/relationships/hyperlink"/><Relationship Id="rId35" Target="https://tokenark.feishu.cn/docx/Vn3hdD7s6okrftx9583cYgganMg#doxcnjvyGa7Ly99nZ6VPuo9vOxH" TargetMode="External" Type="http://schemas.openxmlformats.org/officeDocument/2006/relationships/hyperlink"/><Relationship Id="rId36" Target="https://tokenark.feishu.cn/docx/Vn3hdD7s6okrftx9583cYgganMg#doxcnjvyGa7Ly99nZ6VPuo9vOxH" TargetMode="External" Type="http://schemas.openxmlformats.org/officeDocument/2006/relationships/hyperlink"/><Relationship Id="rId37" Target="https://tokenark.feishu.cn/docx/Vn3hdD7s6okrftx9583cYgganMg#doxcnBX3sXnu1HwwLnmM2Mx7I4b" TargetMode="External" Type="http://schemas.openxmlformats.org/officeDocument/2006/relationships/hyperlink"/><Relationship Id="rId38" Target="https://tokenark.feishu.cn/docx/Vn3hdD7s6okrftx9583cYgganMg#doxcnIAkSdwhzVNy5xVl6rcBlAb" TargetMode="External" Type="http://schemas.openxmlformats.org/officeDocument/2006/relationships/hyperlink"/><Relationship Id="rId39" Target="https://tokenark.feishu.cn/docx/Vn3hdD7s6okrftx9583cYgganMg#doxcnDT0TXNr1FxnblIpniHWp4X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tokenark.feishu.cn/docx/Vn3hdD7s6okrftx9583cYgganMg#doxcnjvyGa7Ly99nZ6VPuo9vOxH" TargetMode="External" Type="http://schemas.openxmlformats.org/officeDocument/2006/relationships/hyperlink"/><Relationship Id="rId41" Target="header1.xml" Type="http://schemas.openxmlformats.org/officeDocument/2006/relationships/header"/><Relationship Id="rId5" Target="media/image1.png" Type="http://schemas.openxmlformats.org/officeDocument/2006/relationships/image"/><Relationship Id="rId6" Target="https://tokenark.feishu.cn/docx/Vn3hdD7s6okrftx9583cYgganMg#doxcnBX3sXnu1HwwLnmM2Mx7I4b" TargetMode="External" Type="http://schemas.openxmlformats.org/officeDocument/2006/relationships/hyperlink"/><Relationship Id="rId7" Target="https://tokenark.feishu.cn/docx/Vn3hdD7s6okrftx9583cYgganMg#doxcnRx1nRd63VXksV6HJSzSm9e" TargetMode="External" Type="http://schemas.openxmlformats.org/officeDocument/2006/relationships/hyperlink"/><Relationship Id="rId8" Target="https://meet.google.com/uov-qcgn-pjd" TargetMode="External" Type="http://schemas.openxmlformats.org/officeDocument/2006/relationships/hyperlink"/><Relationship Id="rId9" Target="https://meet.google.com/cub-gttq-jeo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2026-10-05T11:11:17Z</dcterms:created>
  <dc:creator>Apache POI</dc:creator>
</cp:coreProperties>
</file>