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6"/>
        </w:rPr>
        <w:t>面向不可迁移缺失机制与跨域泛化的双眼眼底图像—临床信息多模态糖尿病视网膜病变患者级分级研究</w:t>
      </w:r>
    </w:p>
    <w:p>
      <w:pPr/>
      <w:r>
        <w:rPr>
          <w:rFonts w:ascii="Times New Roman" w:hAnsi="Times New Roman" w:eastAsia="宋体"/>
          <w:b/>
          <w:i w:val="0"/>
          <w:sz w:val="24"/>
        </w:rPr>
        <w:t>开题报告初稿 v1.0</w:t>
      </w:r>
    </w:p>
    <w:p>
      <w:pPr/>
      <w:r>
        <w:rPr>
          <w:rFonts w:ascii="Times New Roman" w:hAnsi="Times New Roman" w:eastAsia="宋体"/>
          <w:b/>
          <w:i w:val="0"/>
          <w:sz w:val="24"/>
        </w:rPr>
        <w:t>日期：2026年10月10日</w:t>
      </w:r>
    </w:p>
    <w:p>
      <w:pPr>
        <w:pStyle w:val="Heading2"/>
      </w:pPr>
      <w:r>
        <w:t>摘要</w:t>
      </w:r>
    </w:p>
    <w:p>
      <w:pPr/>
      <w:r>
        <w:rPr>
          <w:rFonts w:ascii="Times New Roman" w:hAnsi="Times New Roman" w:eastAsia="宋体"/>
          <w:b w:val="0"/>
          <w:i w:val="0"/>
          <w:sz w:val="24"/>
        </w:rPr>
        <w:t>糖尿病视网膜病变（diabetic retinopathy，DR）筛查的实际决策对象是患者，而现有自动分级研究仍多以单张眼底彩照为分析单位。将左右眼、多视野图像与年龄、性别、糖尿病病程、胰岛素使用等临床信息联合建模，有望提高患者级可转诊 DR（referable DR，rDR）识别能力；但这种增益也可能来自不可迁移的数据采集流程，例如临床变量是否被记录、左右眼病变是否一致、每眼拍摄视野数及相机类型。模型若利用这些捷径，可能在内部测试中表现良好，却在手持设备和不同筛查人群中出现判别下降或失校准。</w:t>
      </w:r>
    </w:p>
    <w:p>
      <w:pPr/>
      <w:r>
        <w:rPr>
          <w:rFonts w:ascii="Times New Roman" w:hAnsi="Times New Roman" w:eastAsia="宋体"/>
          <w:b w:val="0"/>
          <w:i w:val="0"/>
          <w:sz w:val="24"/>
        </w:rPr>
        <w:t>本研究拟开展回顾性、多数据集的患者级预测模型开发与外部测试。以 BRSET 为唯一开发数据集，以 mBRSET 为完全独立的外部测试集。主任务定义为患者级 rDR 二分类：同眼多视野取最高 ICDR 等级，患者取双眼最高等级，ICDR≥2 判定为阳性。现已完成数据审计、21,430 张图像的 `fundus_512_v1` 预处理、质量控制、患者级主队列构建、冻结划分和变长双眼 DataLoader。主分析纳入 BRSET 6,180 名患者和 mBRSET 1,231 名患者；BRSET 按患者冻结为训练、调优、内部测试 4,326/618/1,236 人，mBRSET 全部用于外部测试。</w:t>
      </w:r>
    </w:p>
    <w:p>
      <w:pPr/>
      <w:r>
        <w:rPr>
          <w:rFonts w:ascii="Times New Roman" w:hAnsi="Times New Roman" w:eastAsia="宋体"/>
          <w:b w:val="0"/>
          <w:i w:val="0"/>
          <w:sz w:val="24"/>
        </w:rPr>
        <w:t>研究首先建立患病率常数、临床表格、仅缺失掩码、单眼独立、普通双眼融合和朴素双眼—表格融合等基线，量化真实缺失、眼间不一致、单眼缺失与跨设备偏移下的失效模式。在此基础上，拟构建图像锚定的不对称感知多模态网络（Image-Anchored Asymmetry-aware Multimodal Network，IAAM-Net）：以共享预训练图像编码器提取多视野特征，以掩码池化适配变长输入，以对称双眼表征与不对称门控限制错误跨眼传播，以小型表格分支显式建模观测值和缺失状态，并以受限残差方式修正图像预测；通过反事实缺失一致性约束降低模型对特定记录模式的依赖。</w:t>
      </w:r>
    </w:p>
    <w:p>
      <w:pPr/>
      <w:r>
        <w:rPr>
          <w:rFonts w:ascii="Times New Roman" w:hAnsi="Times New Roman" w:eastAsia="宋体"/>
          <w:b w:val="0"/>
          <w:i w:val="0"/>
          <w:sz w:val="24"/>
        </w:rPr>
        <w:t>评价将同时覆盖判别、校准、固定阈值性能与临床净获益，采用患者级配对 bootstrap 估计 95% 置信区间，并按缺失模式、眼间一致性、相机和人口学亚组开展预注册压力测试。研究不将“双眼”“图像+表格”或“BRSET→mBRSET 外测”单独宣称为创新，而拟检验其交叉可靠性问题。预期形成一套可复现的患者级多模态 DR 研究框架，并回答：多模态增益何时真实、何时来自不可迁移捷径，以及轻量稳健融合能否在复合外部偏移下保留临床可用性。研究设计对标 TRIPOD+AI 与 CLAIM 2024，目标达到医学影像或生物医学工程领域高质量论文的方法与报告要求。</w:t>
      </w:r>
    </w:p>
    <w:p>
      <w:pPr/>
      <w:r>
        <w:rPr>
          <w:rFonts w:ascii="Times New Roman" w:hAnsi="Times New Roman" w:eastAsia="宋体"/>
          <w:b w:val="0"/>
          <w:i w:val="0"/>
          <w:sz w:val="24"/>
        </w:rPr>
        <w:t>**关键词：** 糖尿病视网膜病变；眼底彩照；多模态学习；双眼融合；非随机缺失；外部测试；模型校准</w:t>
      </w:r>
    </w:p>
    <w:p>
      <w:pPr>
        <w:pStyle w:val="Heading2"/>
      </w:pPr>
      <w:r>
        <w:t>1 研究背景与意义</w:t>
      </w:r>
    </w:p>
    <w:p>
      <w:pPr>
        <w:pStyle w:val="Heading3"/>
      </w:pPr>
      <w:r>
        <w:t>1.1 临床背景</w:t>
      </w:r>
    </w:p>
    <w:p>
      <w:pPr/>
      <w:r>
        <w:rPr>
          <w:rFonts w:ascii="Times New Roman" w:hAnsi="Times New Roman" w:eastAsia="宋体"/>
          <w:b w:val="0"/>
          <w:i w:val="0"/>
          <w:sz w:val="24"/>
        </w:rPr>
        <w:t>DR 是糖尿病常见的微血管并发症，也是可防治视力损伤的重要原因。全球系统综述提示，随着糖尿病人群增长，DR 及威胁视力 DR 的疾病负担仍将增加[1]。国际临床 DR 分级采用从无 DR、轻度/中度/重度非增殖期 DR 到增殖期 DR 的分层体系，为筛查转诊和临床沟通提供标准化依据[2]。其中，中度非增殖期及以上病变通常构成自动筛查研究中的 rDR 主要定义，因此，本研究将 ICDR≥2 设为患者级主终点。</w:t>
      </w:r>
    </w:p>
    <w:p>
      <w:pPr/>
      <w:r>
        <w:rPr>
          <w:rFonts w:ascii="Times New Roman" w:hAnsi="Times New Roman" w:eastAsia="宋体"/>
          <w:b w:val="0"/>
          <w:i w:val="0"/>
          <w:sz w:val="24"/>
        </w:rPr>
        <w:t>既往深度学习系统已证明眼底彩照能够支持 rDR 自动识别，并在不同人群中达到较高敏感度和特异度[3,4]。然而，筛查决策针对患者而非单张图像：一名患者可能有左右眼、同眼多视野和不完整临床记录，任一眼达到转诊标准均可能改变处置。将图像级问题直接等同于患者级问题，可能忽略眼间不对称、图像数量不一致和患者内相关性。</w:t>
      </w:r>
    </w:p>
    <w:p>
      <w:pPr>
        <w:pStyle w:val="Heading3"/>
      </w:pPr>
      <w:r>
        <w:t>1.2 方法学背景</w:t>
      </w:r>
    </w:p>
    <w:p>
      <w:pPr/>
      <w:r>
        <w:rPr>
          <w:rFonts w:ascii="Times New Roman" w:hAnsi="Times New Roman" w:eastAsia="宋体"/>
          <w:b w:val="0"/>
          <w:i w:val="0"/>
          <w:sz w:val="24"/>
        </w:rPr>
        <w:t>多模态学习可联合视觉表型与临床危险因素，但其价值不能仅由内部 AUROC 的提高判断。临床记录的缺失往往并非完全随机：某项变量是否被测量或记录，可能反映就诊路径、既往诊断或医生决策[10]。缺失掩码因此既可能提供真实上下文，也可能成为只在开发机构成立的标签代理。医学人工智能中的捷径学习会造成表面性能较高而跨设备或跨人群失效[11]。</w:t>
      </w:r>
    </w:p>
    <w:p>
      <w:pPr/>
      <w:r>
        <w:rPr>
          <w:rFonts w:ascii="Times New Roman" w:hAnsi="Times New Roman" w:eastAsia="宋体"/>
          <w:b w:val="0"/>
          <w:i w:val="0"/>
          <w:sz w:val="24"/>
        </w:rPr>
        <w:t>本项目的数据结构恰好形成一个可检验场景。BRSET 为常规台式相机、多中心眼科就诊数据，mBRSET 为手持设备社区筛查数据；二者在相机、受检人群、rDR 患病率、临床变量完整性、每眼图像数量及眼间一致性方面同时变化[5,6]。因此，BRSET→mBRSET 不是单一设备迁移，而是复合外部偏移。若模型在 BRSET 中依赖“病程/胰岛素是否记录”等流程特征，其内部增益不一定能迁移到临床变量近完整的 mBRSET。</w:t>
      </w:r>
    </w:p>
    <w:p>
      <w:pPr>
        <w:pStyle w:val="Heading3"/>
      </w:pPr>
      <w:r>
        <w:t>1.3 研究意义</w:t>
      </w:r>
    </w:p>
    <w:p>
      <w:pPr/>
      <w:r>
        <w:rPr>
          <w:rFonts w:ascii="Times New Roman" w:hAnsi="Times New Roman" w:eastAsia="宋体"/>
          <w:b w:val="0"/>
          <w:i w:val="0"/>
          <w:sz w:val="24"/>
        </w:rPr>
        <w:t>本研究有三方面意义。第一，在临床任务层面，将分析单位从单图提升为患者，显式整合双眼与多视野证据，更贴近筛查转诊决策。第二，在方法层面，不把融合模块复杂度作为目标，而围绕非随机缺失和眼间不对称建立可证伪的稳健融合机制。第三，在评价层面，以完全独立外部测试、校准、固定阈值指标和压力测试共同衡量可迁移性，避免只报告随机划分上的 AUROC。该设计有助于形成比“再提出一个图像分类器”更完整、更接近高质量临床 AI 论文要求的证据链。</w:t>
      </w:r>
    </w:p>
    <w:p>
      <w:pPr>
        <w:pStyle w:val="Heading2"/>
      </w:pPr>
      <w:r>
        <w:t>2 国内外研究现状与研究空白</w:t>
      </w:r>
    </w:p>
    <w:p>
      <w:pPr>
        <w:pStyle w:val="Heading3"/>
      </w:pPr>
      <w:r>
        <w:t>2.1 基于眼底彩照的 DR 自动分级已较成熟</w:t>
      </w:r>
    </w:p>
    <w:p>
      <w:pPr/>
      <w:r>
        <w:rPr>
          <w:rFonts w:ascii="Times New Roman" w:hAnsi="Times New Roman" w:eastAsia="宋体"/>
          <w:b w:val="0"/>
          <w:i w:val="0"/>
          <w:sz w:val="24"/>
        </w:rPr>
        <w:t>Gulshan 等建立了从眼底彩照识别 rDR 的深度学习系统，并在 EyePACS-1 和 Messidor-2 上测试[3]；Ting 等进一步在多民族、多队列数据上评价 DR 及相关眼病识别[4]。后续研究从 CNN 扩展到视觉 Transformer、眼科基础模型和混合结构，重点逐步从单一准确率转向泛化与临床应用。由此可见，单纯更换骨干或组合 CNN 与 Transformer 已难以构成充分的新颖性。</w:t>
      </w:r>
    </w:p>
    <w:p>
      <w:pPr/>
      <w:r>
        <w:rPr>
          <w:rFonts w:ascii="Times New Roman" w:hAnsi="Times New Roman" w:eastAsia="宋体"/>
          <w:b w:val="0"/>
          <w:i w:val="0"/>
          <w:sz w:val="24"/>
        </w:rPr>
        <w:t>BRSET 含 16,266 张眼底图像及人口学、临床和图像质量字段，官方工作以 ConvNeXt V2 给出多任务基准[5]。mBRSET 含 5,164 张手持眼底图像及临床信息，可用于移动筛查研究[6]。2026 年一项预印本已比较多种基础模型在 BRSET 训练、mBRSET 外部测试时的表现，观察到判别下降及校准问题[7]。这说明“使用 BRSET 训练并在 mBRSET 外测”本身已经不是研究空白。</w:t>
      </w:r>
    </w:p>
    <w:p>
      <w:pPr>
        <w:pStyle w:val="Heading3"/>
      </w:pPr>
      <w:r>
        <w:t>2.2 图像与临床表格融合已有直接工作</w:t>
      </w:r>
    </w:p>
    <w:p>
      <w:pPr/>
      <w:r>
        <w:rPr>
          <w:rFonts w:ascii="Times New Roman" w:hAnsi="Times New Roman" w:eastAsia="宋体"/>
          <w:b w:val="0"/>
          <w:i w:val="0"/>
          <w:sz w:val="24"/>
        </w:rPr>
        <w:t>临床变量能够补充年龄、糖尿病暴露时间和治疗状态等信息，多模态模型因此成为常见方向。DeepDR Plus 等大规模研究显示，眼底图像结合临床研究设计可用于个体化 DR 进展风险评估[12]。与本项目更直接相关的是 InSight 预印本：该研究使用 BRSET 和 mBRSET，将患者元数据与眼底图像融合，用于多眼病识别和 DR 分级[8]。因此，“眼底彩照+临床表格”的简单组合不能作为本研究的核心创新。</w:t>
      </w:r>
    </w:p>
    <w:p>
      <w:pPr/>
      <w:r>
        <w:rPr>
          <w:rFonts w:ascii="Times New Roman" w:hAnsi="Times New Roman" w:eastAsia="宋体"/>
          <w:b w:val="0"/>
          <w:i w:val="0"/>
          <w:sz w:val="24"/>
        </w:rPr>
        <w:t>现有工作仍留下两个问题。其一，多数融合研究将缺失值视为待填补噪声，较少检验缺失模式本身是否成为跨队列捷径。其二，多模态性能常以总体判别指标呈现，缺乏按缺失模式进行的条件校准与反事实压力测试。通用方法如 HEALNet 能处理异质模态和缺失模态[9]，但其主要验证场景并非 DR，也未直接解决 BRSET 与 mBRSET 的记录机制迁移。</w:t>
      </w:r>
    </w:p>
    <w:p>
      <w:pPr>
        <w:pStyle w:val="Heading3"/>
      </w:pPr>
      <w:r>
        <w:t>2.3 双眼与多视野融合具有临床合理性但并非总是有益</w:t>
      </w:r>
    </w:p>
    <w:p>
      <w:pPr/>
      <w:r>
        <w:rPr>
          <w:rFonts w:ascii="Times New Roman" w:hAnsi="Times New Roman" w:eastAsia="宋体"/>
          <w:b w:val="0"/>
          <w:i w:val="0"/>
          <w:sz w:val="24"/>
        </w:rPr>
        <w:t>双眼通常共享全身性危险因素，因此对侧眼可能提供互补信息；但 DR 存在不对称表现，显著不对称还可能与局部血管或眼部因素相关[13]。如果模型默认两眼高度一致，重眼证据可能被错误传播至轻眼，或健眼特征稀释重眼信号。mBRSET 同时具有同眼多视野，若简单平均所有图像，也可能把视野差异和图像质量差异混入患者表征。</w:t>
      </w:r>
    </w:p>
    <w:p>
      <w:pPr/>
      <w:r>
        <w:rPr>
          <w:rFonts w:ascii="Times New Roman" w:hAnsi="Times New Roman" w:eastAsia="宋体"/>
          <w:b w:val="0"/>
          <w:i w:val="0"/>
          <w:sz w:val="24"/>
        </w:rPr>
        <w:t>当前双眼、多图像和注意力融合研究持续增加，普通拼接、均值池化或双分支注意力并不稀缺。因此，更有价值的问题不是证明“第二只眼有用”，而是确定其在何种一致性、图像数量和缺失条件下有用，并通过受限门控避免不可靠信息覆盖主图像证据。</w:t>
      </w:r>
    </w:p>
    <w:p>
      <w:pPr>
        <w:pStyle w:val="Heading3"/>
      </w:pPr>
      <w:r>
        <w:t>2.4 外部测试需要从判别扩展到校准与临床效用</w:t>
      </w:r>
    </w:p>
    <w:p>
      <w:pPr/>
      <w:r>
        <w:rPr>
          <w:rFonts w:ascii="Times New Roman" w:hAnsi="Times New Roman" w:eastAsia="宋体"/>
          <w:b w:val="0"/>
          <w:i w:val="0"/>
          <w:sz w:val="24"/>
        </w:rPr>
        <w:t>预测模型在新人群中的 AUROC 可能保持可接受，但风险值仍可能系统性偏高或偏低。TRIPOD+AI 建议透明报告开发和评价数据，并同时评价判别、校准和临床效用[14]；CLAIM 2024 强调患者级划分、图像采集信息以及“内部测试/外部测试”的清晰表述[15]；FUTURE-AI 进一步将外部数据和本地临床有效性视为可信医疗 AI 的重要环节[16]。本研究将依照这些原则设计，但仅声称完成技术层面的外部测试，不把回顾性公共数据结果解释为临床部署有效性。</w:t>
      </w:r>
    </w:p>
    <w:p>
      <w:pPr>
        <w:pStyle w:val="Heading3"/>
      </w:pPr>
      <w:r>
        <w:t>2.5 研究空白凝练</w:t>
      </w:r>
    </w:p>
    <w:p>
      <w:pPr/>
      <w:r>
        <w:rPr>
          <w:rFonts w:ascii="Times New Roman" w:hAnsi="Times New Roman" w:eastAsia="宋体"/>
          <w:b w:val="0"/>
          <w:i w:val="0"/>
          <w:sz w:val="24"/>
        </w:rPr>
        <w:t>综上，已有研究分别覆盖了 DR 图像分级、BRSET→mBRSET 外部测试、图像—表格融合、双眼/多图像建模和通用缺失模态学习，但尚缺少对以下交叉问题的系统检验：</w:t>
      </w:r>
    </w:p>
    <w:p>
      <w:pPr>
        <w:ind w:left="567"/>
      </w:pPr>
      <w:r>
        <w:rPr>
          <w:rFonts w:ascii="Times New Roman" w:hAnsi="Times New Roman" w:eastAsia="宋体"/>
          <w:sz w:val="22"/>
        </w:rPr>
        <w:t>1. 临床变量的真实非随机缺失能否制造内部有效、外部失效的多模态捷径；</w:t>
      </w:r>
    </w:p>
    <w:p>
      <w:pPr>
        <w:ind w:left="567"/>
      </w:pPr>
      <w:r>
        <w:rPr>
          <w:rFonts w:ascii="Times New Roman" w:hAnsi="Times New Roman" w:eastAsia="宋体"/>
          <w:sz w:val="22"/>
        </w:rPr>
        <w:t>2. 双眼融合在眼间等级不一致时是否产生错误传播；</w:t>
      </w:r>
    </w:p>
    <w:p>
      <w:pPr>
        <w:ind w:left="567"/>
      </w:pPr>
      <w:r>
        <w:rPr>
          <w:rFonts w:ascii="Times New Roman" w:hAnsi="Times New Roman" w:eastAsia="宋体"/>
          <w:sz w:val="22"/>
        </w:rPr>
        <w:t>3. 当临床完整性、图像数量、设备和患病率同时变化时，如何保留多模态增益并维持校准；</w:t>
      </w:r>
    </w:p>
    <w:p>
      <w:pPr>
        <w:ind w:left="567"/>
      </w:pPr>
      <w:r>
        <w:rPr>
          <w:rFonts w:ascii="Times New Roman" w:hAnsi="Times New Roman" w:eastAsia="宋体"/>
          <w:sz w:val="22"/>
        </w:rPr>
        <w:t>4. 如何用患者级、条件化和可复现的实验区分真实生理信息与数据采集流程信号。</w:t>
      </w:r>
    </w:p>
    <w:p>
      <w:pPr/>
      <w:r>
        <w:rPr>
          <w:rFonts w:ascii="Times New Roman" w:hAnsi="Times New Roman" w:eastAsia="宋体"/>
          <w:b w:val="0"/>
          <w:i w:val="0"/>
          <w:sz w:val="24"/>
        </w:rPr>
        <w:t>上述判断是截至 2026 年10月10日的范围性检索结论。由于该方向更新迅速，投稿前仍需在 PubMed、Scopus/Web of Science、IEEE Xplore 和 arXiv 更新检索；在完成该核验前，本研究不使用“首次”表述。</w:t>
      </w:r>
    </w:p>
    <w:p>
      <w:pPr>
        <w:pStyle w:val="Heading2"/>
      </w:pPr>
      <w:r>
        <w:t>3 科学问题、研究假设与研究目标</w:t>
      </w:r>
    </w:p>
    <w:p>
      <w:pPr>
        <w:pStyle w:val="Heading3"/>
      </w:pPr>
      <w:r>
        <w:t>3.1 科学问题</w:t>
      </w:r>
    </w:p>
    <w:p>
      <w:pPr/>
      <w:r>
        <w:rPr>
          <w:rFonts w:ascii="Times New Roman" w:hAnsi="Times New Roman" w:eastAsia="宋体"/>
          <w:b w:val="0"/>
          <w:i w:val="0"/>
          <w:sz w:val="24"/>
        </w:rPr>
        <w:t>**问题一：** 朴素的图像—表格融合增益有多少来自临床数值本身，有多少来自缺失模式这一数据采集流程信号？</w:t>
      </w:r>
    </w:p>
    <w:p>
      <w:pPr/>
      <w:r>
        <w:rPr>
          <w:rFonts w:ascii="Times New Roman" w:hAnsi="Times New Roman" w:eastAsia="宋体"/>
          <w:b w:val="0"/>
          <w:i w:val="0"/>
          <w:sz w:val="24"/>
        </w:rPr>
        <w:t>**问题二：** 双眼信息在眼间一致和不一致患者中的作用是否相同，普通融合是否会造成错误跨眼传播？</w:t>
      </w:r>
    </w:p>
    <w:p>
      <w:pPr/>
      <w:r>
        <w:rPr>
          <w:rFonts w:ascii="Times New Roman" w:hAnsi="Times New Roman" w:eastAsia="宋体"/>
          <w:b w:val="0"/>
          <w:i w:val="0"/>
          <w:sz w:val="24"/>
        </w:rPr>
        <w:t>**问题三：** 图像锚定、缺失一致性与不对称感知能否在不牺牲图像基线的前提下，提高复合外部偏移下的可靠性？</w:t>
      </w:r>
    </w:p>
    <w:p>
      <w:pPr>
        <w:pStyle w:val="Heading3"/>
      </w:pPr>
      <w:r>
        <w:t>3.2 可证伪假设</w:t>
      </w:r>
    </w:p>
    <w:p>
      <w:pPr>
        <w:ind w:left="567"/>
      </w:pPr>
      <w:r>
        <w:rPr>
          <w:rFonts w:ascii="Times New Roman" w:hAnsi="Times New Roman" w:eastAsia="宋体"/>
          <w:sz w:val="22"/>
        </w:rPr>
        <w:t>• H1：朴素多模态模型 B4 可能优于纯图像模型 B3 的 BRSET 内部表现，但若其利用缺失捷径，则该增益在 mBRSET 会缩小、消失或伴随校准恶化。若 B1-mask 无预测力且 B4 外测仍稳定改善，则该假设不成立。</w:t>
      </w:r>
    </w:p>
    <w:p>
      <w:pPr>
        <w:ind w:left="567"/>
      </w:pPr>
      <w:r>
        <w:rPr>
          <w:rFonts w:ascii="Times New Roman" w:hAnsi="Times New Roman" w:eastAsia="宋体"/>
          <w:sz w:val="22"/>
        </w:rPr>
        <w:t>• H2：普通双眼融合 B3 的收益与眼间一致性有关；在不一致患者中，其相对 B2 的增益可能减弱。若 B3 在不一致亚组稳定改善，则引入不对称门控的必要性降低。</w:t>
      </w:r>
    </w:p>
    <w:p>
      <w:pPr>
        <w:ind w:left="567"/>
      </w:pPr>
      <w:r>
        <w:rPr>
          <w:rFonts w:ascii="Times New Roman" w:hAnsi="Times New Roman" w:eastAsia="宋体"/>
          <w:sz w:val="22"/>
        </w:rPr>
        <w:t>• H3：IAAM-Net 相比 B4 能减少缺失与单眼压力测试下的性能下降，并改善外部 Brier score/校准，同时总体 AUROC/AUPRC 不劣于强图像基线。若改进跨种子不稳定或置信区间广泛重叠，则优先保留简单模型。</w:t>
      </w:r>
    </w:p>
    <w:p>
      <w:pPr>
        <w:pStyle w:val="Heading3"/>
      </w:pPr>
      <w:r>
        <w:t>3.3 研究目标</w:t>
      </w:r>
    </w:p>
    <w:p>
      <w:pPr>
        <w:ind w:left="567"/>
      </w:pPr>
      <w:r>
        <w:rPr>
          <w:rFonts w:ascii="Times New Roman" w:hAnsi="Times New Roman" w:eastAsia="宋体"/>
          <w:sz w:val="22"/>
        </w:rPr>
        <w:t>1. 构建可复现、无患者泄漏的双眼多视野—临床表格患者级 DR 基准；</w:t>
      </w:r>
    </w:p>
    <w:p>
      <w:pPr>
        <w:ind w:left="567"/>
      </w:pPr>
      <w:r>
        <w:rPr>
          <w:rFonts w:ascii="Times New Roman" w:hAnsi="Times New Roman" w:eastAsia="宋体"/>
          <w:sz w:val="22"/>
        </w:rPr>
        <w:t>2. 定量描述 BRSET 与 mBRSET 在标签、临床缺失、相机、视野数量和眼间一致性上的复合偏移；</w:t>
      </w:r>
    </w:p>
    <w:p>
      <w:pPr>
        <w:ind w:left="567"/>
      </w:pPr>
      <w:r>
        <w:rPr>
          <w:rFonts w:ascii="Times New Roman" w:hAnsi="Times New Roman" w:eastAsia="宋体"/>
          <w:sz w:val="22"/>
        </w:rPr>
        <w:t>3. 建立分层基线，识别双眼与临床信息在内部和外部测试中的真实贡献；</w:t>
      </w:r>
    </w:p>
    <w:p>
      <w:pPr>
        <w:ind w:left="567"/>
      </w:pPr>
      <w:r>
        <w:rPr>
          <w:rFonts w:ascii="Times New Roman" w:hAnsi="Times New Roman" w:eastAsia="宋体"/>
          <w:sz w:val="22"/>
        </w:rPr>
        <w:t>4. 设计并评价 IAAM-Net，检验其对非随机缺失和眼间不对称的稳健性；</w:t>
      </w:r>
    </w:p>
    <w:p>
      <w:pPr>
        <w:ind w:left="567"/>
      </w:pPr>
      <w:r>
        <w:rPr>
          <w:rFonts w:ascii="Times New Roman" w:hAnsi="Times New Roman" w:eastAsia="宋体"/>
          <w:sz w:val="22"/>
        </w:rPr>
        <w:t>5. 形成符合 TRIPOD+AI 与 CLAIM 2024 的统计、校准、可解释性和复现报告。</w:t>
      </w:r>
    </w:p>
    <w:p>
      <w:pPr>
        <w:pStyle w:val="Heading2"/>
      </w:pPr>
      <w:r>
        <w:t>4 研究内容</w:t>
      </w:r>
    </w:p>
    <w:p>
      <w:pPr>
        <w:pStyle w:val="Heading3"/>
      </w:pPr>
      <w:r>
        <w:t>4.1 复合域偏移与缺失机制审计</w:t>
      </w:r>
    </w:p>
    <w:p>
      <w:pPr/>
      <w:r>
        <w:rPr>
          <w:rFonts w:ascii="Times New Roman" w:hAnsi="Times New Roman" w:eastAsia="宋体"/>
          <w:b w:val="0"/>
          <w:i w:val="0"/>
          <w:sz w:val="24"/>
        </w:rPr>
        <w:t>按数据集和冻结划分统计 ICDR、rDR、相机、年龄、性别、糖尿病病程、胰岛素使用、四项缺失模式、每眼视野数、左右眼等级差以及图像质量。采用标准化差异而非只依赖大样本显著性检验描述域差异。训练 B1-mask（仅缺失掩码）并进行标签置换检查，以判断记录模式是否具有异常预测能力。</w:t>
      </w:r>
    </w:p>
    <w:p>
      <w:pPr>
        <w:pStyle w:val="Heading3"/>
      </w:pPr>
      <w:r>
        <w:t>4.2 患者级基线建立</w:t>
      </w:r>
    </w:p>
    <w:p>
      <w:pPr/>
      <w:r>
        <w:rPr>
          <w:rFonts w:ascii="Times New Roman" w:hAnsi="Times New Roman" w:eastAsia="宋体"/>
          <w:b w:val="0"/>
          <w:i w:val="0"/>
          <w:sz w:val="24"/>
        </w:rPr>
        <w:t>按复杂度递增建立 B0–B4。B0 输出训练集患病率，用于核对指标与校准代码；B1 使用临床数值及缺失处理；B1-mask 仅使用缺失掩码；B2 对每眼独立预测并在患者级取较高概率；B3 对双眼特征进行对称池化；B4 将 B3 与临床数值及缺失掩码直接融合。所有图像模型使用相同输入、增强、训练预算和患者划分，提高模型增益的可归因性。</w:t>
      </w:r>
    </w:p>
    <w:p>
      <w:pPr>
        <w:pStyle w:val="Heading3"/>
      </w:pPr>
      <w:r>
        <w:t>4.3 稳健多模态模型构建</w:t>
      </w:r>
    </w:p>
    <w:p>
      <w:pPr/>
      <w:r>
        <w:rPr>
          <w:rFonts w:ascii="Times New Roman" w:hAnsi="Times New Roman" w:eastAsia="宋体"/>
          <w:b w:val="0"/>
          <w:i w:val="0"/>
          <w:sz w:val="24"/>
        </w:rPr>
        <w:t>围绕已经观察到的数据结构开发 IAAM-Net。该模型不追求大规模双骨干，而采用共享编码器和轻量融合头，以减少阳性样本有限条件下的过拟合。核心机制包括：同眼变长视野掩码池化、左右眼对称表征、眼级辅助预测、不对称门控、图像锚定残差融合和反事实缺失一致性。</w:t>
      </w:r>
    </w:p>
    <w:p>
      <w:pPr>
        <w:pStyle w:val="Heading3"/>
      </w:pPr>
      <w:r>
        <w:t>4.4 外部可靠性与压力测试</w:t>
      </w:r>
    </w:p>
    <w:p>
      <w:pPr/>
      <w:r>
        <w:rPr>
          <w:rFonts w:ascii="Times New Roman" w:hAnsi="Times New Roman" w:eastAsia="宋体"/>
          <w:b w:val="0"/>
          <w:i w:val="0"/>
          <w:sz w:val="24"/>
        </w:rPr>
        <w:t>模型冻结后在 mBRSET 进行零样本外部测试，不重新估计阈值或标准化参数。除自然分布外，测试仅左眼、仅右眼、临床变量缺失 25%/50%/75%/100%、随机缺失与真实缺失、眼间一致/不一致、Canon/Nikon/手持设备等条件。通过判别、校准和阈值性能共同判断模型是否真正稳健。</w:t>
      </w:r>
    </w:p>
    <w:p>
      <w:pPr>
        <w:pStyle w:val="Heading2"/>
      </w:pPr>
      <w:r>
        <w:t>5 数据与研究方法</w:t>
      </w:r>
    </w:p>
    <w:p>
      <w:pPr>
        <w:pStyle w:val="Heading3"/>
      </w:pPr>
      <w:r>
        <w:t>5.1 研究设计与数据来源</w:t>
      </w:r>
    </w:p>
    <w:p>
      <w:pPr/>
      <w:r>
        <w:rPr>
          <w:rFonts w:ascii="Times New Roman" w:hAnsi="Times New Roman" w:eastAsia="宋体"/>
          <w:b w:val="0"/>
          <w:i w:val="0"/>
          <w:sz w:val="24"/>
        </w:rPr>
        <w:t>本研究为公开受控数据的回顾性二次分析。BRSET 作为唯一开发数据集，mBRSET 作为外部测试数据集[5,6]。两者均含眼底彩照、ICDR 标签及可对齐的部分人口学/临床变量。研究遵循各数据集许可与 PhysioNet 凭证要求，不重新识别个体，不上传原始受控数据。</w:t>
      </w:r>
    </w:p>
    <w:p>
      <w:pPr>
        <w:pStyle w:val="Heading3"/>
      </w:pPr>
      <w:r>
        <w:t>5.2 队列与参考标准</w:t>
      </w:r>
    </w:p>
    <w:p>
      <w:pPr/>
      <w:r>
        <w:rPr>
          <w:rFonts w:ascii="Times New Roman" w:hAnsi="Times New Roman" w:eastAsia="宋体"/>
          <w:b w:val="0"/>
          <w:i w:val="0"/>
          <w:sz w:val="24"/>
        </w:rPr>
        <w:t>主分析要求左右眼均至少有一张质量合格、ICDR 非缺失的图像。BRSET 以 `quality==Adequate` 纳入，mBRSET 以 `final_quality==yes` 纳入。同眼多视野的眼级 ICDR 取最大值，患者级 ICDR 取双眼最大值；患者级 rDR 定义为 ICDR≥2。该聚合规则与筛查中“不漏掉较重眼”的目标一致，但可能受标签噪声影响，故将以不同聚合规则和保留低质量图像的队列进行敏感性分析。</w:t>
      </w:r>
    </w:p>
    <w:p>
      <w:pPr/>
      <w:r>
        <w:rPr>
          <w:rFonts w:ascii="Times New Roman" w:hAnsi="Times New Roman" w:eastAsia="宋体"/>
          <w:b w:val="0"/>
          <w:i w:val="0"/>
          <w:sz w:val="24"/>
        </w:rPr>
        <w:t>本项目审计得到：BRSET 主队列 6,180 人、12,380 张图像，其中 rDR 404 人（6.54%）；mBRSET 主队列 1,231 人、4,761 张图像，其中 rDR 291 人（23.64%）。患者级 ICDR 0/1/2/3/4 在 BRSET 为 5717/59/191/39/174，在 mBRSET 为 845/95/195/27/69。</w:t>
      </w:r>
    </w:p>
    <w:p>
      <w:pPr>
        <w:pStyle w:val="Heading3"/>
      </w:pPr>
      <w:r>
        <w:t>5.3 冻结划分与防泄漏</w:t>
      </w:r>
    </w:p>
    <w:p>
      <w:pPr/>
      <w:r>
        <w:rPr>
          <w:rFonts w:ascii="Times New Roman" w:hAnsi="Times New Roman" w:eastAsia="宋体"/>
          <w:b w:val="0"/>
          <w:i w:val="0"/>
          <w:sz w:val="24"/>
        </w:rPr>
        <w:t>BRSET 按患者固定为训练 4,326 人、调优 618 人、内部测试 1,236 人，对应 rDR 阳性 283/40/81 人；mBRSET 1,231 人全部作为外部测试。划分同时平衡患者级 ICDR、相机、性别、年龄分箱、临床缺失模式和眼间不一致，固定种子为 20260929。患者清单 SHA256 为 `1e8b6e135c3cdb7e7d1840d5ac7ccb9dc4039656eb410a26921c53535f8341b3`。</w:t>
      </w:r>
    </w:p>
    <w:p>
      <w:pPr/>
      <w:r>
        <w:rPr>
          <w:rFonts w:ascii="Times New Roman" w:hAnsi="Times New Roman" w:eastAsia="宋体"/>
          <w:b w:val="0"/>
          <w:i w:val="0"/>
          <w:sz w:val="24"/>
        </w:rPr>
        <w:t>所有图像、左右眼和临床变量通过患者 ID 继承同一划分。图像增强仅用于训练；临床均值、标准差、填补值与类别权重仅由 BRSET train 估计；阈值和早停仅使用 BRSET 调优集；内部与外部测试均不参与模型选择。mBRSET 在模型、配置、随机种子和分析脚本冻结后才运行主测试。</w:t>
      </w:r>
    </w:p>
    <w:p>
      <w:pPr>
        <w:pStyle w:val="Heading3"/>
      </w:pPr>
      <w:r>
        <w:t>5.4 图像预处理与数据接口</w:t>
      </w:r>
    </w:p>
    <w:p>
      <w:pPr/>
      <w:r>
        <w:rPr>
          <w:rFonts w:ascii="Times New Roman" w:hAnsi="Times New Roman" w:eastAsia="宋体"/>
          <w:b w:val="0"/>
          <w:i w:val="0"/>
          <w:sz w:val="24"/>
        </w:rPr>
        <w:t>图像严格按已冻结的 `fundus_512_v1` 协议处理：保留原始图像，自动定位眼底前景并裁剪为方形，统一缩放至 512×512，记录 foreground fraction 与 crop fallback 等审计字段。共 21,430 张图像完成处理，其中 BRSET 16,266 张、mBRSET 5,164 张；完整性检查和人工 QC 已通过。黑色背景属于眼底圆形视野之外的标准填充，不作为裁剪失败，且通过前景比例和 fallback 审计监测。</w:t>
      </w:r>
    </w:p>
    <w:p>
      <w:pPr/>
      <w:r>
        <w:rPr>
          <w:rFonts w:ascii="Times New Roman" w:hAnsi="Times New Roman" w:eastAsia="宋体"/>
          <w:b w:val="0"/>
          <w:i w:val="0"/>
          <w:sz w:val="24"/>
        </w:rPr>
        <w:t>DataLoader 以患者为一个样本，分别返回左右眼变长图像集合、视野掩码、四项临床特征及其观测掩码。训练集采用保守增强，评价集使用确定性变换。临床特征固定为年龄、性别、糖尿病病程和胰岛素使用；缺失值用训练集观测均值填补并在 z-score 后置为 0，同时保留显式缺失掩码。当前接口已通过 19 项单元测试。</w:t>
      </w:r>
    </w:p>
    <w:p>
      <w:pPr>
        <w:pStyle w:val="Heading3"/>
      </w:pPr>
      <w:r>
        <w:t>5.5 图像编码器筛选</w:t>
      </w:r>
    </w:p>
    <w:p>
      <w:pPr/>
      <w:r>
        <w:rPr>
          <w:rFonts w:ascii="Times New Roman" w:hAnsi="Times New Roman" w:eastAsia="宋体"/>
          <w:b w:val="0"/>
          <w:i w:val="0"/>
          <w:sz w:val="24"/>
        </w:rPr>
        <w:t>第一阶段只在 B2 上比较 ConvNeXt-Tiny、DINOv3 ViT-S/16 与 MaxViT-Tiny（或同级可复现混合骨干），用于选择共享图像编码器。三者使用同一训练预算，并仅按 BRSET 调优集 AUPRC、校准和稳定性选择，禁止依据 mBRSET 结果反向选择骨干。若混合骨干无稳定优势，则不继续将 CNN+Transformer 作为主创新。</w:t>
      </w:r>
    </w:p>
    <w:p>
      <w:pPr>
        <w:pStyle w:val="Heading3"/>
      </w:pPr>
      <w:r>
        <w:t>5.6 基线定义</w:t>
      </w:r>
    </w:p>
    <w:tbl>
      <w:tblPr>
        <w:tblStyle w:val="TableGrid"/>
        <w:tblW w:type="auto" w:w="0"/>
        <w:tblLook w:firstColumn="1" w:firstRow="1" w:lastColumn="0" w:lastRow="0" w:noHBand="0" w:noVBand="1" w:val="04A0"/>
      </w:tblPr>
      <w:tblGrid>
        <w:gridCol w:w="3120"/>
        <w:gridCol w:w="3120"/>
        <w:gridCol w:w="3120"/>
      </w:tblGrid>
      <w:tr>
        <w:tc>
          <w:tcPr>
            <w:tcW w:type="dxa" w:w="3120"/>
          </w:tcPr>
          <w:p>
            <w:pPr>
              <w:ind w:firstLine="0"/>
            </w:pPr>
            <w:r/>
            <w:r>
              <w:rPr>
                <w:rFonts w:ascii="Times New Roman" w:hAnsi="Times New Roman" w:eastAsia="宋体"/>
                <w:b/>
                <w:sz w:val="20"/>
              </w:rPr>
              <w:t>编号</w:t>
            </w:r>
          </w:p>
        </w:tc>
        <w:tc>
          <w:tcPr>
            <w:tcW w:type="dxa" w:w="3120"/>
          </w:tcPr>
          <w:p>
            <w:pPr>
              <w:ind w:firstLine="0"/>
            </w:pPr>
            <w:r/>
            <w:r>
              <w:rPr>
                <w:rFonts w:ascii="Times New Roman" w:hAnsi="Times New Roman" w:eastAsia="宋体"/>
                <w:b/>
                <w:sz w:val="20"/>
              </w:rPr>
              <w:t>输入与模型</w:t>
            </w:r>
          </w:p>
        </w:tc>
        <w:tc>
          <w:tcPr>
            <w:tcW w:type="dxa" w:w="3120"/>
          </w:tcPr>
          <w:p>
            <w:pPr>
              <w:ind w:firstLine="0"/>
            </w:pPr>
            <w:r/>
            <w:r>
              <w:rPr>
                <w:rFonts w:ascii="Times New Roman" w:hAnsi="Times New Roman" w:eastAsia="宋体"/>
                <w:b/>
                <w:sz w:val="20"/>
              </w:rPr>
              <w:t>回答的问题</w:t>
            </w:r>
          </w:p>
        </w:tc>
      </w:tr>
      <w:tr>
        <w:tc>
          <w:tcPr>
            <w:tcW w:type="dxa" w:w="3120"/>
          </w:tcPr>
          <w:p>
            <w:pPr>
              <w:ind w:firstLine="0"/>
            </w:pPr>
            <w:r/>
            <w:r>
              <w:rPr>
                <w:rFonts w:ascii="Times New Roman" w:hAnsi="Times New Roman" w:eastAsia="宋体"/>
                <w:sz w:val="20"/>
              </w:rPr>
              <w:t>B0</w:t>
            </w:r>
          </w:p>
        </w:tc>
        <w:tc>
          <w:tcPr>
            <w:tcW w:type="dxa" w:w="3120"/>
          </w:tcPr>
          <w:p>
            <w:pPr>
              <w:ind w:firstLine="0"/>
            </w:pPr>
            <w:r/>
            <w:r>
              <w:rPr>
                <w:rFonts w:ascii="Times New Roman" w:hAnsi="Times New Roman" w:eastAsia="宋体"/>
                <w:sz w:val="20"/>
              </w:rPr>
              <w:t>训练集 rDR 患病率常数</w:t>
            </w:r>
          </w:p>
        </w:tc>
        <w:tc>
          <w:tcPr>
            <w:tcW w:type="dxa" w:w="3120"/>
          </w:tcPr>
          <w:p>
            <w:pPr>
              <w:ind w:firstLine="0"/>
            </w:pPr>
            <w:r/>
            <w:r>
              <w:rPr>
                <w:rFonts w:ascii="Times New Roman" w:hAnsi="Times New Roman" w:eastAsia="宋体"/>
                <w:sz w:val="20"/>
              </w:rPr>
              <w:t>指标和校准实现是否正确</w:t>
            </w:r>
          </w:p>
        </w:tc>
      </w:tr>
      <w:tr>
        <w:tc>
          <w:tcPr>
            <w:tcW w:type="dxa" w:w="3120"/>
          </w:tcPr>
          <w:p>
            <w:pPr>
              <w:ind w:firstLine="0"/>
            </w:pPr>
            <w:r/>
            <w:r>
              <w:rPr>
                <w:rFonts w:ascii="Times New Roman" w:hAnsi="Times New Roman" w:eastAsia="宋体"/>
                <w:sz w:val="20"/>
              </w:rPr>
              <w:t>B1</w:t>
            </w:r>
          </w:p>
        </w:tc>
        <w:tc>
          <w:tcPr>
            <w:tcW w:type="dxa" w:w="3120"/>
          </w:tcPr>
          <w:p>
            <w:pPr>
              <w:ind w:firstLine="0"/>
            </w:pPr>
            <w:r/>
            <w:r>
              <w:rPr>
                <w:rFonts w:ascii="Times New Roman" w:hAnsi="Times New Roman" w:eastAsia="宋体"/>
                <w:sz w:val="20"/>
              </w:rPr>
              <w:t>四项临床数值+缺失掩码，小型 MLP/逻辑回归</w:t>
            </w:r>
          </w:p>
        </w:tc>
        <w:tc>
          <w:tcPr>
            <w:tcW w:type="dxa" w:w="3120"/>
          </w:tcPr>
          <w:p>
            <w:pPr>
              <w:ind w:firstLine="0"/>
            </w:pPr>
            <w:r/>
            <w:r>
              <w:rPr>
                <w:rFonts w:ascii="Times New Roman" w:hAnsi="Times New Roman" w:eastAsia="宋体"/>
                <w:sz w:val="20"/>
              </w:rPr>
              <w:t>表格本身有多少预测能力</w:t>
            </w:r>
          </w:p>
        </w:tc>
      </w:tr>
      <w:tr>
        <w:tc>
          <w:tcPr>
            <w:tcW w:type="dxa" w:w="3120"/>
          </w:tcPr>
          <w:p>
            <w:pPr>
              <w:ind w:firstLine="0"/>
            </w:pPr>
            <w:r/>
            <w:r>
              <w:rPr>
                <w:rFonts w:ascii="Times New Roman" w:hAnsi="Times New Roman" w:eastAsia="宋体"/>
                <w:sz w:val="20"/>
              </w:rPr>
              <w:t>B1-mask</w:t>
            </w:r>
          </w:p>
        </w:tc>
        <w:tc>
          <w:tcPr>
            <w:tcW w:type="dxa" w:w="3120"/>
          </w:tcPr>
          <w:p>
            <w:pPr>
              <w:ind w:firstLine="0"/>
            </w:pPr>
            <w:r/>
            <w:r>
              <w:rPr>
                <w:rFonts w:ascii="Times New Roman" w:hAnsi="Times New Roman" w:eastAsia="宋体"/>
                <w:sz w:val="20"/>
              </w:rPr>
              <w:t>仅四项缺失掩码</w:t>
            </w:r>
          </w:p>
        </w:tc>
        <w:tc>
          <w:tcPr>
            <w:tcW w:type="dxa" w:w="3120"/>
          </w:tcPr>
          <w:p>
            <w:pPr>
              <w:ind w:firstLine="0"/>
            </w:pPr>
            <w:r/>
            <w:r>
              <w:rPr>
                <w:rFonts w:ascii="Times New Roman" w:hAnsi="Times New Roman" w:eastAsia="宋体"/>
                <w:sz w:val="20"/>
              </w:rPr>
              <w:t>记录模式能否成为标签代理</w:t>
            </w:r>
          </w:p>
        </w:tc>
      </w:tr>
      <w:tr>
        <w:tc>
          <w:tcPr>
            <w:tcW w:type="dxa" w:w="3120"/>
          </w:tcPr>
          <w:p>
            <w:pPr>
              <w:ind w:firstLine="0"/>
            </w:pPr>
            <w:r/>
            <w:r>
              <w:rPr>
                <w:rFonts w:ascii="Times New Roman" w:hAnsi="Times New Roman" w:eastAsia="宋体"/>
                <w:sz w:val="20"/>
              </w:rPr>
              <w:t>B2</w:t>
            </w:r>
          </w:p>
        </w:tc>
        <w:tc>
          <w:tcPr>
            <w:tcW w:type="dxa" w:w="3120"/>
          </w:tcPr>
          <w:p>
            <w:pPr>
              <w:ind w:firstLine="0"/>
            </w:pPr>
            <w:r/>
            <w:r>
              <w:rPr>
                <w:rFonts w:ascii="Times New Roman" w:hAnsi="Times New Roman" w:eastAsia="宋体"/>
                <w:sz w:val="20"/>
              </w:rPr>
              <w:t>每眼独立图像预测，患者级取双眼最高概率</w:t>
            </w:r>
          </w:p>
        </w:tc>
        <w:tc>
          <w:tcPr>
            <w:tcW w:type="dxa" w:w="3120"/>
          </w:tcPr>
          <w:p>
            <w:pPr>
              <w:ind w:firstLine="0"/>
            </w:pPr>
            <w:r/>
            <w:r>
              <w:rPr>
                <w:rFonts w:ascii="Times New Roman" w:hAnsi="Times New Roman" w:eastAsia="宋体"/>
                <w:sz w:val="20"/>
              </w:rPr>
              <w:t>无跨眼交互的核心图像基线</w:t>
            </w:r>
          </w:p>
        </w:tc>
      </w:tr>
      <w:tr>
        <w:tc>
          <w:tcPr>
            <w:tcW w:type="dxa" w:w="3120"/>
          </w:tcPr>
          <w:p>
            <w:pPr>
              <w:ind w:firstLine="0"/>
            </w:pPr>
            <w:r/>
            <w:r>
              <w:rPr>
                <w:rFonts w:ascii="Times New Roman" w:hAnsi="Times New Roman" w:eastAsia="宋体"/>
                <w:sz w:val="20"/>
              </w:rPr>
              <w:t>B3</w:t>
            </w:r>
          </w:p>
        </w:tc>
        <w:tc>
          <w:tcPr>
            <w:tcW w:type="dxa" w:w="3120"/>
          </w:tcPr>
          <w:p>
            <w:pPr>
              <w:ind w:firstLine="0"/>
            </w:pPr>
            <w:r/>
            <w:r>
              <w:rPr>
                <w:rFonts w:ascii="Times New Roman" w:hAnsi="Times New Roman" w:eastAsia="宋体"/>
                <w:sz w:val="20"/>
              </w:rPr>
              <w:t>共享编码器+同眼均值池化+对称双眼融合</w:t>
            </w:r>
          </w:p>
        </w:tc>
        <w:tc>
          <w:tcPr>
            <w:tcW w:type="dxa" w:w="3120"/>
          </w:tcPr>
          <w:p>
            <w:pPr>
              <w:ind w:firstLine="0"/>
            </w:pPr>
            <w:r/>
            <w:r>
              <w:rPr>
                <w:rFonts w:ascii="Times New Roman" w:hAnsi="Times New Roman" w:eastAsia="宋体"/>
                <w:sz w:val="20"/>
              </w:rPr>
              <w:t>普通双眼信息是否增益</w:t>
            </w:r>
          </w:p>
        </w:tc>
      </w:tr>
      <w:tr>
        <w:tc>
          <w:tcPr>
            <w:tcW w:type="dxa" w:w="3120"/>
          </w:tcPr>
          <w:p>
            <w:pPr>
              <w:ind w:firstLine="0"/>
            </w:pPr>
            <w:r/>
            <w:r>
              <w:rPr>
                <w:rFonts w:ascii="Times New Roman" w:hAnsi="Times New Roman" w:eastAsia="宋体"/>
                <w:sz w:val="20"/>
              </w:rPr>
              <w:t>B4</w:t>
            </w:r>
          </w:p>
        </w:tc>
        <w:tc>
          <w:tcPr>
            <w:tcW w:type="dxa" w:w="3120"/>
          </w:tcPr>
          <w:p>
            <w:pPr>
              <w:ind w:firstLine="0"/>
            </w:pPr>
            <w:r/>
            <w:r>
              <w:rPr>
                <w:rFonts w:ascii="Times New Roman" w:hAnsi="Times New Roman" w:eastAsia="宋体"/>
                <w:sz w:val="20"/>
              </w:rPr>
              <w:t>B3+临床数值和缺失掩码直接拼接</w:t>
            </w:r>
          </w:p>
        </w:tc>
        <w:tc>
          <w:tcPr>
            <w:tcW w:type="dxa" w:w="3120"/>
          </w:tcPr>
          <w:p>
            <w:pPr>
              <w:ind w:firstLine="0"/>
            </w:pPr>
            <w:r/>
            <w:r>
              <w:rPr>
                <w:rFonts w:ascii="Times New Roman" w:hAnsi="Times New Roman" w:eastAsia="宋体"/>
                <w:sz w:val="20"/>
              </w:rPr>
              <w:t>朴素多模态融合是否增益及是否外部失效</w:t>
            </w:r>
          </w:p>
        </w:tc>
      </w:tr>
    </w:tbl>
    <w:p/>
    <w:p>
      <w:pPr/>
      <w:r>
        <w:rPr>
          <w:rFonts w:ascii="Times New Roman" w:hAnsi="Times New Roman" w:eastAsia="宋体"/>
          <w:b w:val="0"/>
          <w:i w:val="0"/>
          <w:sz w:val="24"/>
        </w:rPr>
        <w:t>最低论文比较为 B2、B3、B4 与 IAAM-Net；B0、B1 和 B1-mask 为必要诊断基线。若计算预算允许，再加入 HEALNet 或 modality dropout 作为通用缺失模态参照，但不以牺牲核心消融和多种子复现为代价。</w:t>
      </w:r>
    </w:p>
    <w:p>
      <w:pPr>
        <w:pStyle w:val="Heading3"/>
      </w:pPr>
      <w:r>
        <w:t>5.7 IAAM-Net 结构</w:t>
      </w:r>
    </w:p>
    <w:p>
      <w:pPr/>
      <w:r>
        <w:rPr>
          <w:rFonts w:ascii="Times New Roman" w:hAnsi="Times New Roman" w:eastAsia="宋体"/>
          <w:b w:val="0"/>
          <w:i w:val="0"/>
          <w:sz w:val="24"/>
        </w:rPr>
        <w:t>对患者 (p) 的眼别 (e\in\{L,R\}) 和视野 (v)，共享编码器 (f_\theta) 产生图像特征 (h_{pev}=f_\theta(x_{pev}))。利用真实视野掩码 (m_{pev}) 完成同眼聚合：</w:t>
      </w:r>
    </w:p>
    <w:p>
      <w:pPr>
        <w:ind w:left="567"/>
      </w:pPr>
      <w:r>
        <w:rPr>
          <w:rFonts w:ascii="Consolas" w:hAnsi="Consolas"/>
          <w:sz w:val="18"/>
        </w:rPr>
        <w:t>z_pe = Σ_v m_pev h_pev / (Σ_v m_pev + ε)</w:t>
      </w:r>
    </w:p>
    <w:p>
      <w:pPr/>
      <w:r>
        <w:rPr>
          <w:rFonts w:ascii="Times New Roman" w:hAnsi="Times New Roman" w:eastAsia="宋体"/>
          <w:b w:val="0"/>
          <w:i w:val="0"/>
          <w:sz w:val="24"/>
        </w:rPr>
        <w:t>第一版采用 masked mean，待基线稳定后才比较轻量 attention pooling。双眼表征采用交换不变的对称形式：</w:t>
      </w:r>
    </w:p>
    <w:p>
      <w:pPr>
        <w:ind w:left="567"/>
      </w:pPr>
      <w:r>
        <w:rPr>
          <w:rFonts w:ascii="Consolas" w:hAnsi="Consolas"/>
          <w:sz w:val="18"/>
        </w:rPr>
        <w:t>z_bi = concat(mean(z_L,z_R), max(z_L,z_R), |z_L-z_R|)</w:t>
      </w:r>
    </w:p>
    <w:p>
      <w:pPr/>
      <w:r>
        <w:rPr>
          <w:rFonts w:ascii="Times New Roman" w:hAnsi="Times New Roman" w:eastAsia="宋体"/>
          <w:b w:val="0"/>
          <w:i w:val="0"/>
          <w:sz w:val="24"/>
        </w:rPr>
        <w:t>共享眼级头分别输出左右眼风险。眼间风险差与特征差共同形成不对称信号，控制对侧信息的残差门控。表格分支仅使用四项统一变量及对应掩码，通过两层 MLP 得到 (z_{tab})。最终预测以图像为锚点：</w:t>
      </w:r>
    </w:p>
    <w:p>
      <w:pPr>
        <w:ind w:left="567"/>
      </w:pPr>
      <w:r>
        <w:rPr>
          <w:rFonts w:ascii="Consolas" w:hAnsi="Consolas"/>
          <w:sz w:val="18"/>
        </w:rPr>
        <w:t>logit_final = logit_image</w:t>
        <w:br/>
        <w:t xml:space="preserve">            + g_eye · Δ_bilateral</w:t>
        <w:br/>
        <w:t xml:space="preserve">            + g_tab · Δ_tabular</w:t>
      </w:r>
    </w:p>
    <w:p>
      <w:pPr/>
      <w:r>
        <w:rPr>
          <w:rFonts w:ascii="Times New Roman" w:hAnsi="Times New Roman" w:eastAsia="宋体"/>
          <w:b w:val="0"/>
          <w:i w:val="0"/>
          <w:sz w:val="24"/>
        </w:rPr>
        <w:t>其中门 (g_{eye}) 受眼间分歧和模态可用性约束，(g_{tab}) 受临床观测掩码及图像置信度约束。该结构允许临床信息或一只眼缺失时自然退化到图像路径，避免附加模态完全覆盖图像证据。</w:t>
      </w:r>
    </w:p>
    <w:p>
      <w:pPr>
        <w:pStyle w:val="Heading3"/>
      </w:pPr>
      <w:r>
        <w:t>5.8 损失与训练</w:t>
      </w:r>
    </w:p>
    <w:p>
      <w:pPr/>
      <w:r>
        <w:rPr>
          <w:rFonts w:ascii="Times New Roman" w:hAnsi="Times New Roman" w:eastAsia="宋体"/>
          <w:b w:val="0"/>
          <w:i w:val="0"/>
          <w:sz w:val="24"/>
        </w:rPr>
        <w:t>主损失为按 BRSET train 正类比例加权的二元交叉熵，并加入共享眼级辅助损失与反事实缺失一致性：</w:t>
      </w:r>
    </w:p>
    <w:p>
      <w:pPr>
        <w:ind w:left="567"/>
      </w:pPr>
      <w:r>
        <w:rPr>
          <w:rFonts w:ascii="Consolas" w:hAnsi="Consolas"/>
          <w:sz w:val="18"/>
        </w:rPr>
        <w:t>L = L_patient + 0.3(L_left + L_right) + λ_cf L_cf</w:t>
      </w:r>
    </w:p>
    <w:p>
      <w:pPr/>
      <w:r>
        <w:rPr>
          <w:rFonts w:ascii="Times New Roman" w:hAnsi="Times New Roman" w:eastAsia="宋体"/>
          <w:b w:val="0"/>
          <w:i w:val="0"/>
          <w:sz w:val="24"/>
        </w:rPr>
        <w:t>对同一患者随机改变可用临床掩码，约束不同缺失版本的预测不发生无依据的大幅变化；`λ_cf` 在 {0.05, 0.10, 0.20} 中仅由调优集选择。第一阶段冻结编码器训练融合头 3–5 epoch，第二阶段解冻最后 1–2 个 stage/block，以较小编码器学习率微调。使用 AdamW、warmup+cosine decay、混合精度和早停；早停主指标为 BRSET 调优集 AUPRC。最终模型运行三个预注册随机种子，报告种子均值，并保留每名患者的独立预测用于配对统计。</w:t>
      </w:r>
    </w:p>
    <w:p>
      <w:pPr>
        <w:pStyle w:val="Heading3"/>
      </w:pPr>
      <w:r>
        <w:t>5.9 评价指标与统计分析</w:t>
      </w:r>
    </w:p>
    <w:p>
      <w:pPr/>
      <w:r>
        <w:rPr>
          <w:rFonts w:ascii="Times New Roman" w:hAnsi="Times New Roman" w:eastAsia="宋体"/>
          <w:b w:val="0"/>
          <w:i w:val="0"/>
          <w:sz w:val="24"/>
        </w:rPr>
        <w:t>主评价分四层：</w:t>
      </w:r>
    </w:p>
    <w:p>
      <w:pPr>
        <w:ind w:left="567"/>
      </w:pPr>
      <w:r>
        <w:rPr>
          <w:rFonts w:ascii="Times New Roman" w:hAnsi="Times New Roman" w:eastAsia="宋体"/>
          <w:sz w:val="22"/>
        </w:rPr>
        <w:t>1. **判别：** AUROC、AUPRC；由于 AUPRC 受患病率影响，BRSET 与 mBRSET 的数值不作简单横向归因。</w:t>
      </w:r>
    </w:p>
    <w:p>
      <w:pPr>
        <w:ind w:left="567"/>
      </w:pPr>
      <w:r>
        <w:rPr>
          <w:rFonts w:ascii="Times New Roman" w:hAnsi="Times New Roman" w:eastAsia="宋体"/>
          <w:sz w:val="22"/>
        </w:rPr>
        <w:t>2. **固定阈值性能：** 在 BRSET 调优集选择达到至少 90% 敏感度的最低阈值，冻结后报告内部和外部敏感度、特异度、PPV、NPV 与 F1。</w:t>
      </w:r>
    </w:p>
    <w:p>
      <w:pPr>
        <w:ind w:left="567"/>
      </w:pPr>
      <w:r>
        <w:rPr>
          <w:rFonts w:ascii="Times New Roman" w:hAnsi="Times New Roman" w:eastAsia="宋体"/>
          <w:sz w:val="22"/>
        </w:rPr>
        <w:t>3. **校准：** Brier score、校准截距、校准斜率和校准曲线；ECE 作为补充，并明确分箱方法。主外部测试不重校准，温度缩放或 Platt scaling 仅作为明确标注的次级分析。</w:t>
      </w:r>
    </w:p>
    <w:p>
      <w:pPr>
        <w:ind w:left="567"/>
      </w:pPr>
      <w:r>
        <w:rPr>
          <w:rFonts w:ascii="Times New Roman" w:hAnsi="Times New Roman" w:eastAsia="宋体"/>
          <w:sz w:val="22"/>
        </w:rPr>
        <w:t>4. **临床效用：** 在合理转诊阈值区间绘制决策曲线，报告净获益；不将回顾性净获益等同于真实临床收益。</w:t>
      </w:r>
    </w:p>
    <w:p>
      <w:pPr/>
      <w:r>
        <w:rPr>
          <w:rFonts w:ascii="Times New Roman" w:hAnsi="Times New Roman" w:eastAsia="宋体"/>
          <w:b w:val="0"/>
          <w:i w:val="0"/>
          <w:sz w:val="24"/>
        </w:rPr>
        <w:t>95% 置信区间以患者为重采样单位进行 2,000 次 bootstrap。模型差异使用相同患者预测的配对 bootstrap，重点报告效应差及置信区间。主要比较预注册为 IAAM-Net vs B4 和 IAAM-Net vs B2 的外部 AUROC、AUPRC 与 Brier score；其他比较作为次要或探索性分析，避免对大量亚组结果作过度显著性解释。若三个随机种子差异明显，除平均值外报告种子范围和失败运行。</w:t>
      </w:r>
    </w:p>
    <w:p>
      <w:pPr/>
      <w:r>
        <w:rPr>
          <w:rFonts w:ascii="Times New Roman" w:hAnsi="Times New Roman" w:eastAsia="宋体"/>
          <w:b w:val="0"/>
          <w:i w:val="0"/>
          <w:sz w:val="24"/>
        </w:rPr>
        <w:t>内部测试仅 81 名 rDR 阳性，研究采用固定可用样本而非事后功效驱动删减。结论将依据置信区间精度表述；小样本亚组只做探索性分析。任何按图像计算的置信区间均不作为正式结果。</w:t>
      </w:r>
    </w:p>
    <w:p>
      <w:pPr>
        <w:pStyle w:val="Heading3"/>
      </w:pPr>
      <w:r>
        <w:t>5.10 压力测试与消融</w:t>
      </w:r>
    </w:p>
    <w:tbl>
      <w:tblPr>
        <w:tblStyle w:val="TableGrid"/>
        <w:tblW w:type="auto" w:w="0"/>
        <w:tblLook w:firstColumn="1" w:firstRow="1" w:lastColumn="0" w:lastRow="0" w:noHBand="0" w:noVBand="1" w:val="04A0"/>
      </w:tblPr>
      <w:tblGrid>
        <w:gridCol w:w="3120"/>
        <w:gridCol w:w="3120"/>
        <w:gridCol w:w="3120"/>
      </w:tblGrid>
      <w:tr>
        <w:tc>
          <w:tcPr>
            <w:tcW w:type="dxa" w:w="3120"/>
          </w:tcPr>
          <w:p>
            <w:pPr>
              <w:ind w:firstLine="0"/>
            </w:pPr>
            <w:r/>
            <w:r>
              <w:rPr>
                <w:rFonts w:ascii="Times New Roman" w:hAnsi="Times New Roman" w:eastAsia="宋体"/>
                <w:b/>
                <w:sz w:val="20"/>
              </w:rPr>
              <w:t>维度</w:t>
            </w:r>
          </w:p>
        </w:tc>
        <w:tc>
          <w:tcPr>
            <w:tcW w:type="dxa" w:w="3120"/>
          </w:tcPr>
          <w:p>
            <w:pPr>
              <w:ind w:firstLine="0"/>
            </w:pPr>
            <w:r/>
            <w:r>
              <w:rPr>
                <w:rFonts w:ascii="Times New Roman" w:hAnsi="Times New Roman" w:eastAsia="宋体"/>
                <w:b/>
                <w:sz w:val="20"/>
              </w:rPr>
              <w:t>条件</w:t>
            </w:r>
          </w:p>
        </w:tc>
        <w:tc>
          <w:tcPr>
            <w:tcW w:type="dxa" w:w="3120"/>
          </w:tcPr>
          <w:p>
            <w:pPr>
              <w:ind w:firstLine="0"/>
            </w:pPr>
            <w:r/>
            <w:r>
              <w:rPr>
                <w:rFonts w:ascii="Times New Roman" w:hAnsi="Times New Roman" w:eastAsia="宋体"/>
                <w:b/>
                <w:sz w:val="20"/>
              </w:rPr>
              <w:t>目的</w:t>
            </w:r>
          </w:p>
        </w:tc>
      </w:tr>
      <w:tr>
        <w:tc>
          <w:tcPr>
            <w:tcW w:type="dxa" w:w="3120"/>
          </w:tcPr>
          <w:p>
            <w:pPr>
              <w:ind w:firstLine="0"/>
            </w:pPr>
            <w:r/>
            <w:r>
              <w:rPr>
                <w:rFonts w:ascii="Times New Roman" w:hAnsi="Times New Roman" w:eastAsia="宋体"/>
                <w:sz w:val="20"/>
              </w:rPr>
              <w:t>临床缺失</w:t>
            </w:r>
          </w:p>
        </w:tc>
        <w:tc>
          <w:tcPr>
            <w:tcW w:type="dxa" w:w="3120"/>
          </w:tcPr>
          <w:p>
            <w:pPr>
              <w:ind w:firstLine="0"/>
            </w:pPr>
            <w:r/>
            <w:r>
              <w:rPr>
                <w:rFonts w:ascii="Times New Roman" w:hAnsi="Times New Roman" w:eastAsia="宋体"/>
                <w:sz w:val="20"/>
              </w:rPr>
              <w:t>真实缺失；MCAR 25%/50%/75%/100%；mask 置换</w:t>
            </w:r>
          </w:p>
        </w:tc>
        <w:tc>
          <w:tcPr>
            <w:tcW w:type="dxa" w:w="3120"/>
          </w:tcPr>
          <w:p>
            <w:pPr>
              <w:ind w:firstLine="0"/>
            </w:pPr>
            <w:r/>
            <w:r>
              <w:rPr>
                <w:rFonts w:ascii="Times New Roman" w:hAnsi="Times New Roman" w:eastAsia="宋体"/>
                <w:sz w:val="20"/>
              </w:rPr>
              <w:t>区分临床数值与记录流程捷径</w:t>
            </w:r>
          </w:p>
        </w:tc>
      </w:tr>
      <w:tr>
        <w:tc>
          <w:tcPr>
            <w:tcW w:type="dxa" w:w="3120"/>
          </w:tcPr>
          <w:p>
            <w:pPr>
              <w:ind w:firstLine="0"/>
            </w:pPr>
            <w:r/>
            <w:r>
              <w:rPr>
                <w:rFonts w:ascii="Times New Roman" w:hAnsi="Times New Roman" w:eastAsia="宋体"/>
                <w:sz w:val="20"/>
              </w:rPr>
              <w:t>眼别缺失</w:t>
            </w:r>
          </w:p>
        </w:tc>
        <w:tc>
          <w:tcPr>
            <w:tcW w:type="dxa" w:w="3120"/>
          </w:tcPr>
          <w:p>
            <w:pPr>
              <w:ind w:firstLine="0"/>
            </w:pPr>
            <w:r/>
            <w:r>
              <w:rPr>
                <w:rFonts w:ascii="Times New Roman" w:hAnsi="Times New Roman" w:eastAsia="宋体"/>
                <w:sz w:val="20"/>
              </w:rPr>
              <w:t>双眼；仅左；仅右</w:t>
            </w:r>
          </w:p>
        </w:tc>
        <w:tc>
          <w:tcPr>
            <w:tcW w:type="dxa" w:w="3120"/>
          </w:tcPr>
          <w:p>
            <w:pPr>
              <w:ind w:firstLine="0"/>
            </w:pPr>
            <w:r/>
            <w:r>
              <w:rPr>
                <w:rFonts w:ascii="Times New Roman" w:hAnsi="Times New Roman" w:eastAsia="宋体"/>
                <w:sz w:val="20"/>
              </w:rPr>
              <w:t>检验退化能力与信息冗余</w:t>
            </w:r>
          </w:p>
        </w:tc>
      </w:tr>
      <w:tr>
        <w:tc>
          <w:tcPr>
            <w:tcW w:type="dxa" w:w="3120"/>
          </w:tcPr>
          <w:p>
            <w:pPr>
              <w:ind w:firstLine="0"/>
            </w:pPr>
            <w:r/>
            <w:r>
              <w:rPr>
                <w:rFonts w:ascii="Times New Roman" w:hAnsi="Times New Roman" w:eastAsia="宋体"/>
                <w:sz w:val="20"/>
              </w:rPr>
              <w:t>眼间关系</w:t>
            </w:r>
          </w:p>
        </w:tc>
        <w:tc>
          <w:tcPr>
            <w:tcW w:type="dxa" w:w="3120"/>
          </w:tcPr>
          <w:p>
            <w:pPr>
              <w:ind w:firstLine="0"/>
            </w:pPr>
            <w:r/>
            <w:r>
              <w:rPr>
                <w:rFonts w:ascii="Times New Roman" w:hAnsi="Times New Roman" w:eastAsia="宋体"/>
                <w:sz w:val="20"/>
              </w:rPr>
              <w:t>ICDR 一致；不一致；按等级差分层</w:t>
            </w:r>
          </w:p>
        </w:tc>
        <w:tc>
          <w:tcPr>
            <w:tcW w:type="dxa" w:w="3120"/>
          </w:tcPr>
          <w:p>
            <w:pPr>
              <w:ind w:firstLine="0"/>
            </w:pPr>
            <w:r/>
            <w:r>
              <w:rPr>
                <w:rFonts w:ascii="Times New Roman" w:hAnsi="Times New Roman" w:eastAsia="宋体"/>
                <w:sz w:val="20"/>
              </w:rPr>
              <w:t>检验错误跨眼传播</w:t>
            </w:r>
          </w:p>
        </w:tc>
      </w:tr>
      <w:tr>
        <w:tc>
          <w:tcPr>
            <w:tcW w:type="dxa" w:w="3120"/>
          </w:tcPr>
          <w:p>
            <w:pPr>
              <w:ind w:firstLine="0"/>
            </w:pPr>
            <w:r/>
            <w:r>
              <w:rPr>
                <w:rFonts w:ascii="Times New Roman" w:hAnsi="Times New Roman" w:eastAsia="宋体"/>
                <w:sz w:val="20"/>
              </w:rPr>
              <w:t>视野数量</w:t>
            </w:r>
          </w:p>
        </w:tc>
        <w:tc>
          <w:tcPr>
            <w:tcW w:type="dxa" w:w="3120"/>
          </w:tcPr>
          <w:p>
            <w:pPr>
              <w:ind w:firstLine="0"/>
            </w:pPr>
            <w:r/>
            <w:r>
              <w:rPr>
                <w:rFonts w:ascii="Times New Roman" w:hAnsi="Times New Roman" w:eastAsia="宋体"/>
                <w:sz w:val="20"/>
              </w:rPr>
              <w:t>单视野；多视野；固定首视野敏感性分析</w:t>
            </w:r>
          </w:p>
        </w:tc>
        <w:tc>
          <w:tcPr>
            <w:tcW w:type="dxa" w:w="3120"/>
          </w:tcPr>
          <w:p>
            <w:pPr>
              <w:ind w:firstLine="0"/>
            </w:pPr>
            <w:r/>
            <w:r>
              <w:rPr>
                <w:rFonts w:ascii="Times New Roman" w:hAnsi="Times New Roman" w:eastAsia="宋体"/>
                <w:sz w:val="20"/>
              </w:rPr>
              <w:t>检验变长聚合稳健性</w:t>
            </w:r>
          </w:p>
        </w:tc>
      </w:tr>
      <w:tr>
        <w:tc>
          <w:tcPr>
            <w:tcW w:type="dxa" w:w="3120"/>
          </w:tcPr>
          <w:p>
            <w:pPr>
              <w:ind w:firstLine="0"/>
            </w:pPr>
            <w:r/>
            <w:r>
              <w:rPr>
                <w:rFonts w:ascii="Times New Roman" w:hAnsi="Times New Roman" w:eastAsia="宋体"/>
                <w:sz w:val="20"/>
              </w:rPr>
              <w:t>相机/域</w:t>
            </w:r>
          </w:p>
        </w:tc>
        <w:tc>
          <w:tcPr>
            <w:tcW w:type="dxa" w:w="3120"/>
          </w:tcPr>
          <w:p>
            <w:pPr>
              <w:ind w:firstLine="0"/>
            </w:pPr>
            <w:r/>
            <w:r>
              <w:rPr>
                <w:rFonts w:ascii="Times New Roman" w:hAnsi="Times New Roman" w:eastAsia="宋体"/>
                <w:sz w:val="20"/>
              </w:rPr>
              <w:t>BRSET Canon、Nikon、混合；mBRSET 手持设备</w:t>
            </w:r>
          </w:p>
        </w:tc>
        <w:tc>
          <w:tcPr>
            <w:tcW w:type="dxa" w:w="3120"/>
          </w:tcPr>
          <w:p>
            <w:pPr>
              <w:ind w:firstLine="0"/>
            </w:pPr>
            <w:r/>
            <w:r>
              <w:rPr>
                <w:rFonts w:ascii="Times New Roman" w:hAnsi="Times New Roman" w:eastAsia="宋体"/>
                <w:sz w:val="20"/>
              </w:rPr>
              <w:t>描述设备与复合域偏移</w:t>
            </w:r>
          </w:p>
        </w:tc>
      </w:tr>
      <w:tr>
        <w:tc>
          <w:tcPr>
            <w:tcW w:type="dxa" w:w="3120"/>
          </w:tcPr>
          <w:p>
            <w:pPr>
              <w:ind w:firstLine="0"/>
            </w:pPr>
            <w:r/>
            <w:r>
              <w:rPr>
                <w:rFonts w:ascii="Times New Roman" w:hAnsi="Times New Roman" w:eastAsia="宋体"/>
                <w:sz w:val="20"/>
              </w:rPr>
              <w:t>人口学</w:t>
            </w:r>
          </w:p>
        </w:tc>
        <w:tc>
          <w:tcPr>
            <w:tcW w:type="dxa" w:w="3120"/>
          </w:tcPr>
          <w:p>
            <w:pPr>
              <w:ind w:firstLine="0"/>
            </w:pPr>
            <w:r/>
            <w:r>
              <w:rPr>
                <w:rFonts w:ascii="Times New Roman" w:hAnsi="Times New Roman" w:eastAsia="宋体"/>
                <w:sz w:val="20"/>
              </w:rPr>
              <w:t>性别、年龄组</w:t>
            </w:r>
          </w:p>
        </w:tc>
        <w:tc>
          <w:tcPr>
            <w:tcW w:type="dxa" w:w="3120"/>
          </w:tcPr>
          <w:p>
            <w:pPr>
              <w:ind w:firstLine="0"/>
            </w:pPr>
            <w:r/>
            <w:r>
              <w:rPr>
                <w:rFonts w:ascii="Times New Roman" w:hAnsi="Times New Roman" w:eastAsia="宋体"/>
                <w:sz w:val="20"/>
              </w:rPr>
              <w:t>探索性能异质性，不作公平性定论</w:t>
            </w:r>
          </w:p>
        </w:tc>
      </w:tr>
      <w:tr>
        <w:tc>
          <w:tcPr>
            <w:tcW w:type="dxa" w:w="3120"/>
          </w:tcPr>
          <w:p>
            <w:pPr>
              <w:ind w:firstLine="0"/>
            </w:pPr>
            <w:r/>
            <w:r>
              <w:rPr>
                <w:rFonts w:ascii="Times New Roman" w:hAnsi="Times New Roman" w:eastAsia="宋体"/>
                <w:sz w:val="20"/>
              </w:rPr>
              <w:t>质量</w:t>
            </w:r>
          </w:p>
        </w:tc>
        <w:tc>
          <w:tcPr>
            <w:tcW w:type="dxa" w:w="3120"/>
          </w:tcPr>
          <w:p>
            <w:pPr>
              <w:ind w:firstLine="0"/>
            </w:pPr>
            <w:r/>
            <w:r>
              <w:rPr>
                <w:rFonts w:ascii="Times New Roman" w:hAnsi="Times New Roman" w:eastAsia="宋体"/>
                <w:sz w:val="20"/>
              </w:rPr>
              <w:t>主质量合格队列；全质量敏感性队列</w:t>
            </w:r>
          </w:p>
        </w:tc>
        <w:tc>
          <w:tcPr>
            <w:tcW w:type="dxa" w:w="3120"/>
          </w:tcPr>
          <w:p>
            <w:pPr>
              <w:ind w:firstLine="0"/>
            </w:pPr>
            <w:r/>
            <w:r>
              <w:rPr>
                <w:rFonts w:ascii="Times New Roman" w:hAnsi="Times New Roman" w:eastAsia="宋体"/>
                <w:sz w:val="20"/>
              </w:rPr>
              <w:t>评价纳排规则影响</w:t>
            </w:r>
          </w:p>
        </w:tc>
      </w:tr>
    </w:tbl>
    <w:p/>
    <w:p>
      <w:pPr/>
      <w:r>
        <w:rPr>
          <w:rFonts w:ascii="Times New Roman" w:hAnsi="Times New Roman" w:eastAsia="宋体"/>
          <w:b w:val="0"/>
          <w:i w:val="0"/>
          <w:sz w:val="24"/>
        </w:rPr>
        <w:t>关键消融包括去掉不对称门控、去掉反事实一致性、用直接拼接替代图像锚定残差、masked mean vs attention pooling，以及是否加入缺失掩码。模型参数量、FLOPs、峰值显存和单患者推理时间一并报告。若复杂模型只产生很小且不稳定的改善，按简约原则选择 B3/B4。</w:t>
      </w:r>
    </w:p>
    <w:p>
      <w:pPr>
        <w:pStyle w:val="Heading3"/>
      </w:pPr>
      <w:r>
        <w:t>5.11 可解释性与错误分析</w:t>
      </w:r>
    </w:p>
    <w:p>
      <w:pPr/>
      <w:r>
        <w:rPr>
          <w:rFonts w:ascii="Times New Roman" w:hAnsi="Times New Roman" w:eastAsia="宋体"/>
          <w:b w:val="0"/>
          <w:i w:val="0"/>
          <w:sz w:val="24"/>
        </w:rPr>
        <w:t>可解释性用于生成假设而非证明因果。对真阳性、假阳性、假阴性及内外域性能变化最大的病例，展示左右眼并列图、眼级概率、临床观测掩码和门控权重；Grad-CAM 仅用于检查关注区域是否明显偏向边框、相机伪影或非眼底区域。错误分析按病变等级、眼间不一致、视野数量、相机和缺失模式汇总，并对极端置信错误进行人工复核。</w:t>
      </w:r>
    </w:p>
    <w:p>
      <w:pPr>
        <w:pStyle w:val="Heading2"/>
      </w:pPr>
      <w:r>
        <w:t>6 技术路线</w:t>
      </w:r>
    </w:p>
    <w:p>
      <w:pPr>
        <w:ind w:left="567"/>
      </w:pPr>
      <w:r>
        <w:rPr>
          <w:rFonts w:ascii="Consolas" w:hAnsi="Consolas"/>
          <w:sz w:val="18"/>
        </w:rPr>
        <w:t>数据许可与审计</w:t>
        <w:br/>
        <w:t xml:space="preserve">  → fundus_512_v1 预处理与QC</w:t>
        <w:br/>
        <w:t xml:space="preserve">  → 患者级主队列及冻结划分</w:t>
        <w:br/>
        <w:t xml:space="preserve">  → 变长双眼/多视野 DataLoader</w:t>
        <w:br/>
        <w:t xml:space="preserve">  → B0/B1/B1-mask 诊断基线</w:t>
        <w:br/>
        <w:t xml:space="preserve">  → B2 三类骨干筛选（仅 BRSET 调优）</w:t>
        <w:br/>
        <w:t xml:space="preserve">  → 固定骨干完成 B2/B3/B4</w:t>
        <w:br/>
        <w:t xml:space="preserve">  → 识别缺失与眼间不一致失效模式</w:t>
        <w:br/>
        <w:t xml:space="preserve">  → 实现 IAAM-Net</w:t>
        <w:br/>
        <w:t xml:space="preserve">  → 消融、缺失/缺眼/域偏移压力测试</w:t>
        <w:br/>
        <w:t xml:space="preserve">  → 冻结模型与阈值</w:t>
        <w:br/>
        <w:t xml:space="preserve">  → BRSET 内部测试 + mBRSET 零样本外部测试</w:t>
        <w:br/>
        <w:t xml:space="preserve">  → 患者级 bootstrap、校准、决策曲线与错误分析</w:t>
        <w:br/>
        <w:t xml:space="preserve">  → 按 TRIPOD+AI/CLAIM 形成论文与复现材料</w:t>
      </w:r>
    </w:p>
    <w:p>
      <w:pPr>
        <w:pStyle w:val="Heading2"/>
      </w:pPr>
      <w:r>
        <w:t>7 拟创新点</w:t>
      </w:r>
    </w:p>
    <w:p>
      <w:pPr>
        <w:ind w:left="567"/>
      </w:pPr>
      <w:r>
        <w:rPr>
          <w:rFonts w:ascii="Times New Roman" w:hAnsi="Times New Roman" w:eastAsia="宋体"/>
          <w:sz w:val="22"/>
        </w:rPr>
        <w:t>1. **问题创新：** 将 DR 多模态研究从“是否融合”推进到“融合增益是否可迁移”，联合考察临床变量非随机缺失、眼间不对称、变长视野和跨设备/人群复合偏移。该交叉问题在现有 BRSET/mBRSET 直接工作中尚未得到系统评价。</w:t>
      </w:r>
    </w:p>
    <w:p>
      <w:pPr>
        <w:ind w:left="567"/>
      </w:pPr>
      <w:r>
        <w:rPr>
          <w:rFonts w:ascii="Times New Roman" w:hAnsi="Times New Roman" w:eastAsia="宋体"/>
          <w:sz w:val="22"/>
        </w:rPr>
        <w:t>2. **方法创新：** 提出轻量的图像锚定残差融合，使临床表格和对侧眼作为受限修正而非替代图像证据；以不对称门控减少错误跨眼传播，以反事实缺失一致性降低对特定记录模式的依赖。</w:t>
      </w:r>
    </w:p>
    <w:p>
      <w:pPr>
        <w:ind w:left="567"/>
      </w:pPr>
      <w:r>
        <w:rPr>
          <w:rFonts w:ascii="Times New Roman" w:hAnsi="Times New Roman" w:eastAsia="宋体"/>
          <w:sz w:val="22"/>
        </w:rPr>
        <w:t>3. **评价创新：** 建立患者级、条件化可靠性评价矩阵，通过 mask-only 基线、真实与模拟缺失、单眼缺失、眼间不一致、相机分层和外部校准共同区分真实信息与捷径。</w:t>
      </w:r>
    </w:p>
    <w:p>
      <w:pPr>
        <w:ind w:left="567"/>
      </w:pPr>
      <w:r>
        <w:rPr>
          <w:rFonts w:ascii="Times New Roman" w:hAnsi="Times New Roman" w:eastAsia="宋体"/>
          <w:sz w:val="22"/>
        </w:rPr>
        <w:t>4. **工程与复现贡献：** 提供冻结患者清单、可审计预处理 manifest、训练集限定的临床标准化、变长双眼 DataLoader、配置哈希与患者级统计脚本，降低复现中的隐性泄漏。</w:t>
      </w:r>
    </w:p>
    <w:p>
      <w:pPr/>
      <w:r>
        <w:rPr>
          <w:rFonts w:ascii="Times New Roman" w:hAnsi="Times New Roman" w:eastAsia="宋体"/>
          <w:b w:val="0"/>
          <w:i w:val="0"/>
          <w:sz w:val="24"/>
        </w:rPr>
        <w:t>以上创新点均为拟检验贡献。若基线结果不支持缺失捷径或眼间错误传播，相应机制创新将弱化，论文将转向系统性多模态增益审计，而不强行维持预设结论。</w:t>
      </w:r>
    </w:p>
    <w:p>
      <w:pPr>
        <w:pStyle w:val="Heading2"/>
      </w:pPr>
      <w:r>
        <w:t>8 前期工作基础与可行性</w:t>
      </w:r>
    </w:p>
    <w:p>
      <w:pPr>
        <w:pStyle w:val="Heading3"/>
      </w:pPr>
      <w:r>
        <w:t>8.1 已完成工作</w:t>
      </w:r>
    </w:p>
    <w:p>
      <w:pPr>
        <w:ind w:left="567"/>
      </w:pPr>
      <w:r>
        <w:rPr>
          <w:rFonts w:ascii="Times New Roman" w:hAnsi="Times New Roman" w:eastAsia="宋体"/>
          <w:sz w:val="22"/>
        </w:rPr>
        <w:t>• 已获得并核验 BRSET 1.0.2 与 mBRSET 1.0 数据；</w:t>
      </w:r>
    </w:p>
    <w:p>
      <w:pPr>
        <w:ind w:left="567"/>
      </w:pPr>
      <w:r>
        <w:rPr>
          <w:rFonts w:ascii="Times New Roman" w:hAnsi="Times New Roman" w:eastAsia="宋体"/>
          <w:sz w:val="22"/>
        </w:rPr>
        <w:t>• 已完成 21,430 张图像的 `fundus_512_v1` 非覆盖式预处理、manifest、配置、完整性检查和人工 QC；</w:t>
      </w:r>
    </w:p>
    <w:p>
      <w:pPr>
        <w:ind w:left="567"/>
      </w:pPr>
      <w:r>
        <w:rPr>
          <w:rFonts w:ascii="Times New Roman" w:hAnsi="Times New Roman" w:eastAsia="宋体"/>
          <w:sz w:val="22"/>
        </w:rPr>
        <w:t>• 已完成主分析队列、全质量敏感性队列和患者级参考标准；</w:t>
      </w:r>
    </w:p>
    <w:p>
      <w:pPr>
        <w:ind w:left="567"/>
      </w:pPr>
      <w:r>
        <w:rPr>
          <w:rFonts w:ascii="Times New Roman" w:hAnsi="Times New Roman" w:eastAsia="宋体"/>
          <w:sz w:val="22"/>
        </w:rPr>
        <w:t>• 已冻结 BRSET 70%/10%/20% 患者级划分和 mBRSET 外部测试集；</w:t>
      </w:r>
    </w:p>
    <w:p>
      <w:pPr>
        <w:ind w:left="567"/>
      </w:pPr>
      <w:r>
        <w:rPr>
          <w:rFonts w:ascii="Times New Roman" w:hAnsi="Times New Roman" w:eastAsia="宋体"/>
          <w:sz w:val="22"/>
        </w:rPr>
        <w:t>• 已完成患者级双眼变长 DataLoader、临床缺失掩码与仅训练集拟合的标准化；</w:t>
      </w:r>
    </w:p>
    <w:p>
      <w:pPr>
        <w:ind w:left="567"/>
      </w:pPr>
      <w:r>
        <w:rPr>
          <w:rFonts w:ascii="Times New Roman" w:hAnsi="Times New Roman" w:eastAsia="宋体"/>
          <w:sz w:val="22"/>
        </w:rPr>
        <w:t>• 已完成 19 项 DataLoader 单元测试以及既有预处理/QC 测试；</w:t>
      </w:r>
    </w:p>
    <w:p>
      <w:pPr>
        <w:ind w:left="567"/>
      </w:pPr>
      <w:r>
        <w:rPr>
          <w:rFonts w:ascii="Times New Roman" w:hAnsi="Times New Roman" w:eastAsia="宋体"/>
          <w:sz w:val="22"/>
        </w:rPr>
        <w:t>• 已形成实验协议、模型策略和研究空白报告。</w:t>
      </w:r>
    </w:p>
    <w:p>
      <w:pPr>
        <w:pStyle w:val="Heading3"/>
      </w:pPr>
      <w:r>
        <w:t>8.2 数据可行性</w:t>
      </w:r>
    </w:p>
    <w:p>
      <w:pPr/>
      <w:r>
        <w:rPr>
          <w:rFonts w:ascii="Times New Roman" w:hAnsi="Times New Roman" w:eastAsia="宋体"/>
          <w:b w:val="0"/>
          <w:i w:val="0"/>
          <w:sz w:val="24"/>
        </w:rPr>
        <w:t>主分析共有 7,411 名患者、17,141 张质量合格图像，其中外部测试包含 291 名 rDR 阳性，足以支持主要外部评价及若干预注册分层。BRSET 训练阳性 283 人，限制了大型模型从头训练和过多复杂分支，因此采用预训练编码器、共享参数与轻量融合更合理。病程和胰岛素在 BRSET 训练集观测数仅 566 和 507，这一不足同时构成研究风险和缺失机制研究的动机。</w:t>
      </w:r>
    </w:p>
    <w:p>
      <w:pPr>
        <w:pStyle w:val="Heading3"/>
      </w:pPr>
      <w:r>
        <w:t>8.3 工程与资源可行性</w:t>
      </w:r>
    </w:p>
    <w:p>
      <w:pPr/>
      <w:r>
        <w:rPr>
          <w:rFonts w:ascii="Times New Roman" w:hAnsi="Times New Roman" w:eastAsia="宋体"/>
          <w:b w:val="0"/>
          <w:i w:val="0"/>
          <w:sz w:val="24"/>
        </w:rPr>
        <w:t>统一预处理缓存和 DataLoader 已就绪，后续可直接进入基线训练。ConvNeXt-Tiny 等模型可在现有 GPU 上以混合精度训练；DINOv3/MaxViT 仅用于有限骨干筛选，不同时展开大规模超参数搜索。所有模型复用相同数据接口和配置，便于控制变量及复现。</w:t>
      </w:r>
    </w:p>
    <w:p>
      <w:pPr>
        <w:pStyle w:val="Heading2"/>
      </w:pPr>
      <w:r>
        <w:t>9 风险、伦理与应对方案</w:t>
      </w:r>
    </w:p>
    <w:p>
      <w:pPr>
        <w:pStyle w:val="Heading3"/>
      </w:pPr>
      <w:r>
        <w:t>9.1 主要风险及止损路径</w:t>
      </w:r>
    </w:p>
    <w:tbl>
      <w:tblPr>
        <w:tblStyle w:val="TableGrid"/>
        <w:tblW w:type="auto" w:w="0"/>
        <w:tblLook w:firstColumn="1" w:firstRow="1" w:lastColumn="0" w:lastRow="0" w:noHBand="0" w:noVBand="1" w:val="04A0"/>
      </w:tblPr>
      <w:tblGrid>
        <w:gridCol w:w="3120"/>
        <w:gridCol w:w="3120"/>
        <w:gridCol w:w="3120"/>
      </w:tblGrid>
      <w:tr>
        <w:tc>
          <w:tcPr>
            <w:tcW w:type="dxa" w:w="3120"/>
          </w:tcPr>
          <w:p>
            <w:pPr>
              <w:ind w:firstLine="0"/>
            </w:pPr>
            <w:r/>
            <w:r>
              <w:rPr>
                <w:rFonts w:ascii="Times New Roman" w:hAnsi="Times New Roman" w:eastAsia="宋体"/>
                <w:b/>
                <w:sz w:val="20"/>
              </w:rPr>
              <w:t>风险/观察</w:t>
            </w:r>
          </w:p>
        </w:tc>
        <w:tc>
          <w:tcPr>
            <w:tcW w:type="dxa" w:w="3120"/>
          </w:tcPr>
          <w:p>
            <w:pPr>
              <w:ind w:firstLine="0"/>
            </w:pPr>
            <w:r/>
            <w:r>
              <w:rPr>
                <w:rFonts w:ascii="Times New Roman" w:hAnsi="Times New Roman" w:eastAsia="宋体"/>
                <w:b/>
                <w:sz w:val="20"/>
              </w:rPr>
              <w:t>判定信号</w:t>
            </w:r>
          </w:p>
        </w:tc>
        <w:tc>
          <w:tcPr>
            <w:tcW w:type="dxa" w:w="3120"/>
          </w:tcPr>
          <w:p>
            <w:pPr>
              <w:ind w:firstLine="0"/>
            </w:pPr>
            <w:r/>
            <w:r>
              <w:rPr>
                <w:rFonts w:ascii="Times New Roman" w:hAnsi="Times New Roman" w:eastAsia="宋体"/>
                <w:b/>
                <w:sz w:val="20"/>
              </w:rPr>
              <w:t>应对与转向</w:t>
            </w:r>
          </w:p>
        </w:tc>
      </w:tr>
      <w:tr>
        <w:tc>
          <w:tcPr>
            <w:tcW w:type="dxa" w:w="3120"/>
          </w:tcPr>
          <w:p>
            <w:pPr>
              <w:ind w:firstLine="0"/>
            </w:pPr>
            <w:r/>
            <w:r>
              <w:rPr>
                <w:rFonts w:ascii="Times New Roman" w:hAnsi="Times New Roman" w:eastAsia="宋体"/>
                <w:sz w:val="20"/>
              </w:rPr>
              <w:t>强图像基线无法复现合理水平</w:t>
            </w:r>
          </w:p>
        </w:tc>
        <w:tc>
          <w:tcPr>
            <w:tcW w:type="dxa" w:w="3120"/>
          </w:tcPr>
          <w:p>
            <w:pPr>
              <w:ind w:firstLine="0"/>
            </w:pPr>
            <w:r/>
            <w:r>
              <w:rPr>
                <w:rFonts w:ascii="Times New Roman" w:hAnsi="Times New Roman" w:eastAsia="宋体"/>
                <w:sz w:val="20"/>
              </w:rPr>
              <w:t>B2 明显低于数据论文或文献可比基准</w:t>
            </w:r>
          </w:p>
        </w:tc>
        <w:tc>
          <w:tcPr>
            <w:tcW w:type="dxa" w:w="3120"/>
          </w:tcPr>
          <w:p>
            <w:pPr>
              <w:ind w:firstLine="0"/>
            </w:pPr>
            <w:r/>
            <w:r>
              <w:rPr>
                <w:rFonts w:ascii="Times New Roman" w:hAnsi="Times New Roman" w:eastAsia="宋体"/>
                <w:sz w:val="20"/>
              </w:rPr>
              <w:t>暂停方法开发，核查标签、预处理、损失、类别权重与指标实现</w:t>
            </w:r>
          </w:p>
        </w:tc>
      </w:tr>
      <w:tr>
        <w:tc>
          <w:tcPr>
            <w:tcW w:type="dxa" w:w="3120"/>
          </w:tcPr>
          <w:p>
            <w:pPr>
              <w:ind w:firstLine="0"/>
            </w:pPr>
            <w:r/>
            <w:r>
              <w:rPr>
                <w:rFonts w:ascii="Times New Roman" w:hAnsi="Times New Roman" w:eastAsia="宋体"/>
                <w:sz w:val="20"/>
              </w:rPr>
              <w:t>表格无增益</w:t>
            </w:r>
          </w:p>
        </w:tc>
        <w:tc>
          <w:tcPr>
            <w:tcW w:type="dxa" w:w="3120"/>
          </w:tcPr>
          <w:p>
            <w:pPr>
              <w:ind w:firstLine="0"/>
            </w:pPr>
            <w:r/>
            <w:r>
              <w:rPr>
                <w:rFonts w:ascii="Times New Roman" w:hAnsi="Times New Roman" w:eastAsia="宋体"/>
                <w:sz w:val="20"/>
              </w:rPr>
              <w:t>B1 接近常数，B4 不优于 B3</w:t>
            </w:r>
          </w:p>
        </w:tc>
        <w:tc>
          <w:tcPr>
            <w:tcW w:type="dxa" w:w="3120"/>
          </w:tcPr>
          <w:p>
            <w:pPr>
              <w:ind w:firstLine="0"/>
            </w:pPr>
            <w:r/>
            <w:r>
              <w:rPr>
                <w:rFonts w:ascii="Times New Roman" w:hAnsi="Times New Roman" w:eastAsia="宋体"/>
                <w:sz w:val="20"/>
              </w:rPr>
              <w:t>主线转为“多模态无效条件与可靠性审计”，保留负结果，不堆叠模型</w:t>
            </w:r>
          </w:p>
        </w:tc>
      </w:tr>
      <w:tr>
        <w:tc>
          <w:tcPr>
            <w:tcW w:type="dxa" w:w="3120"/>
          </w:tcPr>
          <w:p>
            <w:pPr>
              <w:ind w:firstLine="0"/>
            </w:pPr>
            <w:r/>
            <w:r>
              <w:rPr>
                <w:rFonts w:ascii="Times New Roman" w:hAnsi="Times New Roman" w:eastAsia="宋体"/>
                <w:sz w:val="20"/>
              </w:rPr>
              <w:t>缺失捷径不存在</w:t>
            </w:r>
          </w:p>
        </w:tc>
        <w:tc>
          <w:tcPr>
            <w:tcW w:type="dxa" w:w="3120"/>
          </w:tcPr>
          <w:p>
            <w:pPr>
              <w:ind w:firstLine="0"/>
            </w:pPr>
            <w:r/>
            <w:r>
              <w:rPr>
                <w:rFonts w:ascii="Times New Roman" w:hAnsi="Times New Roman" w:eastAsia="宋体"/>
                <w:sz w:val="20"/>
              </w:rPr>
              <w:t>B1-mask 无预测力且外测不受缺失影响</w:t>
            </w:r>
          </w:p>
        </w:tc>
        <w:tc>
          <w:tcPr>
            <w:tcW w:type="dxa" w:w="3120"/>
          </w:tcPr>
          <w:p>
            <w:pPr>
              <w:ind w:firstLine="0"/>
            </w:pPr>
            <w:r/>
            <w:r>
              <w:rPr>
                <w:rFonts w:ascii="Times New Roman" w:hAnsi="Times New Roman" w:eastAsia="宋体"/>
                <w:sz w:val="20"/>
              </w:rPr>
              <w:t>去掉反事实一致性主张，聚焦双眼/多视野与校准</w:t>
            </w:r>
          </w:p>
        </w:tc>
      </w:tr>
      <w:tr>
        <w:tc>
          <w:tcPr>
            <w:tcW w:type="dxa" w:w="3120"/>
          </w:tcPr>
          <w:p>
            <w:pPr>
              <w:ind w:firstLine="0"/>
            </w:pPr>
            <w:r/>
            <w:r>
              <w:rPr>
                <w:rFonts w:ascii="Times New Roman" w:hAnsi="Times New Roman" w:eastAsia="宋体"/>
                <w:sz w:val="20"/>
              </w:rPr>
              <w:t>不对称门控无效</w:t>
            </w:r>
          </w:p>
        </w:tc>
        <w:tc>
          <w:tcPr>
            <w:tcW w:type="dxa" w:w="3120"/>
          </w:tcPr>
          <w:p>
            <w:pPr>
              <w:ind w:firstLine="0"/>
            </w:pPr>
            <w:r/>
            <w:r>
              <w:rPr>
                <w:rFonts w:ascii="Times New Roman" w:hAnsi="Times New Roman" w:eastAsia="宋体"/>
                <w:sz w:val="20"/>
              </w:rPr>
              <w:t>不一致亚组中 B3 不受损，消融无差异</w:t>
            </w:r>
          </w:p>
        </w:tc>
        <w:tc>
          <w:tcPr>
            <w:tcW w:type="dxa" w:w="3120"/>
          </w:tcPr>
          <w:p>
            <w:pPr>
              <w:ind w:firstLine="0"/>
            </w:pPr>
            <w:r/>
            <w:r>
              <w:rPr>
                <w:rFonts w:ascii="Times New Roman" w:hAnsi="Times New Roman" w:eastAsia="宋体"/>
                <w:sz w:val="20"/>
              </w:rPr>
              <w:t>删除门控，采用更简单对称融合</w:t>
            </w:r>
          </w:p>
        </w:tc>
      </w:tr>
      <w:tr>
        <w:tc>
          <w:tcPr>
            <w:tcW w:type="dxa" w:w="3120"/>
          </w:tcPr>
          <w:p>
            <w:pPr>
              <w:ind w:firstLine="0"/>
            </w:pPr>
            <w:r/>
            <w:r>
              <w:rPr>
                <w:rFonts w:ascii="Times New Roman" w:hAnsi="Times New Roman" w:eastAsia="宋体"/>
                <w:sz w:val="20"/>
              </w:rPr>
              <w:t>外部性能大幅下降</w:t>
            </w:r>
          </w:p>
        </w:tc>
        <w:tc>
          <w:tcPr>
            <w:tcW w:type="dxa" w:w="3120"/>
          </w:tcPr>
          <w:p>
            <w:pPr>
              <w:ind w:firstLine="0"/>
            </w:pPr>
            <w:r/>
            <w:r>
              <w:rPr>
                <w:rFonts w:ascii="Times New Roman" w:hAnsi="Times New Roman" w:eastAsia="宋体"/>
                <w:sz w:val="20"/>
              </w:rPr>
              <w:t>所有模型 mBRSET 明显退化</w:t>
            </w:r>
          </w:p>
        </w:tc>
        <w:tc>
          <w:tcPr>
            <w:tcW w:type="dxa" w:w="3120"/>
          </w:tcPr>
          <w:p>
            <w:pPr>
              <w:ind w:firstLine="0"/>
            </w:pPr>
            <w:r/>
            <w:r>
              <w:rPr>
                <w:rFonts w:ascii="Times New Roman" w:hAnsi="Times New Roman" w:eastAsia="宋体"/>
                <w:sz w:val="20"/>
              </w:rPr>
              <w:t>区分标签/患病率/设备/人群原因；主结果仍保留零样本外测，域适配另列次级实验</w:t>
            </w:r>
          </w:p>
        </w:tc>
      </w:tr>
      <w:tr>
        <w:tc>
          <w:tcPr>
            <w:tcW w:type="dxa" w:w="3120"/>
          </w:tcPr>
          <w:p>
            <w:pPr>
              <w:ind w:firstLine="0"/>
            </w:pPr>
            <w:r/>
            <w:r>
              <w:rPr>
                <w:rFonts w:ascii="Times New Roman" w:hAnsi="Times New Roman" w:eastAsia="宋体"/>
                <w:sz w:val="20"/>
              </w:rPr>
              <w:t>结果方差大</w:t>
            </w:r>
          </w:p>
        </w:tc>
        <w:tc>
          <w:tcPr>
            <w:tcW w:type="dxa" w:w="3120"/>
          </w:tcPr>
          <w:p>
            <w:pPr>
              <w:ind w:firstLine="0"/>
            </w:pPr>
            <w:r/>
            <w:r>
              <w:rPr>
                <w:rFonts w:ascii="Times New Roman" w:hAnsi="Times New Roman" w:eastAsia="宋体"/>
                <w:sz w:val="20"/>
              </w:rPr>
              <w:t>三种子方向不一致</w:t>
            </w:r>
          </w:p>
        </w:tc>
        <w:tc>
          <w:tcPr>
            <w:tcW w:type="dxa" w:w="3120"/>
          </w:tcPr>
          <w:p>
            <w:pPr>
              <w:ind w:firstLine="0"/>
            </w:pPr>
            <w:r/>
            <w:r>
              <w:rPr>
                <w:rFonts w:ascii="Times New Roman" w:hAnsi="Times New Roman" w:eastAsia="宋体"/>
                <w:sz w:val="20"/>
              </w:rPr>
              <w:t>降低模型复杂度、加强正则并报告所有种子，不挑选最好种子</w:t>
            </w:r>
          </w:p>
        </w:tc>
      </w:tr>
      <w:tr>
        <w:tc>
          <w:tcPr>
            <w:tcW w:type="dxa" w:w="3120"/>
          </w:tcPr>
          <w:p>
            <w:pPr>
              <w:ind w:firstLine="0"/>
            </w:pPr>
            <w:r/>
            <w:r>
              <w:rPr>
                <w:rFonts w:ascii="Times New Roman" w:hAnsi="Times New Roman" w:eastAsia="宋体"/>
                <w:sz w:val="20"/>
              </w:rPr>
              <w:t>亚组样本不足</w:t>
            </w:r>
          </w:p>
        </w:tc>
        <w:tc>
          <w:tcPr>
            <w:tcW w:type="dxa" w:w="3120"/>
          </w:tcPr>
          <w:p>
            <w:pPr>
              <w:ind w:firstLine="0"/>
            </w:pPr>
            <w:r/>
            <w:r>
              <w:rPr>
                <w:rFonts w:ascii="Times New Roman" w:hAnsi="Times New Roman" w:eastAsia="宋体"/>
                <w:sz w:val="20"/>
              </w:rPr>
              <w:t>置信区间过宽或无阳性</w:t>
            </w:r>
          </w:p>
        </w:tc>
        <w:tc>
          <w:tcPr>
            <w:tcW w:type="dxa" w:w="3120"/>
          </w:tcPr>
          <w:p>
            <w:pPr>
              <w:ind w:firstLine="0"/>
            </w:pPr>
            <w:r/>
            <w:r>
              <w:rPr>
                <w:rFonts w:ascii="Times New Roman" w:hAnsi="Times New Roman" w:eastAsia="宋体"/>
                <w:sz w:val="20"/>
              </w:rPr>
              <w:t>降为探索性描述，不作强比较结论</w:t>
            </w:r>
          </w:p>
        </w:tc>
      </w:tr>
    </w:tbl>
    <w:p/>
    <w:p>
      <w:pPr>
        <w:pStyle w:val="Heading3"/>
      </w:pPr>
      <w:r>
        <w:t>9.2 伦理与数据治理</w:t>
      </w:r>
    </w:p>
    <w:p>
      <w:pPr/>
      <w:r>
        <w:rPr>
          <w:rFonts w:ascii="Times New Roman" w:hAnsi="Times New Roman" w:eastAsia="宋体"/>
          <w:b w:val="0"/>
          <w:i w:val="0"/>
          <w:sz w:val="24"/>
        </w:rPr>
        <w:t>本研究使用已去标识化的受控公开数据，不与其他数据进行身份关联。数据访问、存储、使用与衍生文件发布遵循 PhysioNet 和原数据集许可；凭证、密码和原始受控图像不进入代码仓库。是否需要本校伦理审批或豁免，应在正式开题前由所在单位伦理部门确认，报告中不自行宣称豁免。模型仅用于科研评价，不用于真实患者决策。</w:t>
      </w:r>
    </w:p>
    <w:p>
      <w:pPr>
        <w:pStyle w:val="Heading3"/>
      </w:pPr>
      <w:r>
        <w:t>9.3 开放科学与复现</w:t>
      </w:r>
    </w:p>
    <w:p>
      <w:pPr/>
      <w:r>
        <w:rPr>
          <w:rFonts w:ascii="Times New Roman" w:hAnsi="Times New Roman" w:eastAsia="宋体"/>
          <w:b w:val="0"/>
          <w:i w:val="0"/>
          <w:sz w:val="24"/>
        </w:rPr>
        <w:t>在许可允许范围内公开代码、配置、环境锁定文件、无身份信息的患者划分索引/哈希、预处理和评价脚本；不重新分发受控图像或可能违反许可的患者级字段。每次实验记录代码版本、配置哈希、随机种子、数据 manifest 哈希、硬件与运行日志。最终论文附 TRIPOD+AI 和 CLAIM 2024 清单。</w:t>
      </w:r>
    </w:p>
    <w:p>
      <w:pPr>
        <w:pStyle w:val="Heading2"/>
      </w:pPr>
      <w:r>
        <w:t>10 研究进度安排</w:t>
      </w:r>
    </w:p>
    <w:tbl>
      <w:tblPr>
        <w:tblStyle w:val="TableGrid"/>
        <w:tblW w:type="auto" w:w="0"/>
        <w:tblLook w:firstColumn="1" w:firstRow="1" w:lastColumn="0" w:lastRow="0" w:noHBand="0" w:noVBand="1" w:val="04A0"/>
      </w:tblPr>
      <w:tblGrid>
        <w:gridCol w:w="3120"/>
        <w:gridCol w:w="3120"/>
        <w:gridCol w:w="3120"/>
      </w:tblGrid>
      <w:tr>
        <w:tc>
          <w:tcPr>
            <w:tcW w:type="dxa" w:w="3120"/>
          </w:tcPr>
          <w:p>
            <w:pPr>
              <w:ind w:firstLine="0"/>
            </w:pPr>
            <w:r/>
            <w:r>
              <w:rPr>
                <w:rFonts w:ascii="Times New Roman" w:hAnsi="Times New Roman" w:eastAsia="宋体"/>
                <w:b/>
                <w:sz w:val="20"/>
              </w:rPr>
              <w:t>时间</w:t>
            </w:r>
          </w:p>
        </w:tc>
        <w:tc>
          <w:tcPr>
            <w:tcW w:type="dxa" w:w="3120"/>
          </w:tcPr>
          <w:p>
            <w:pPr>
              <w:ind w:firstLine="0"/>
            </w:pPr>
            <w:r/>
            <w:r>
              <w:rPr>
                <w:rFonts w:ascii="Times New Roman" w:hAnsi="Times New Roman" w:eastAsia="宋体"/>
                <w:b/>
                <w:sz w:val="20"/>
              </w:rPr>
              <w:t>主要任务</w:t>
            </w:r>
          </w:p>
        </w:tc>
        <w:tc>
          <w:tcPr>
            <w:tcW w:type="dxa" w:w="3120"/>
          </w:tcPr>
          <w:p>
            <w:pPr>
              <w:ind w:firstLine="0"/>
            </w:pPr>
            <w:r/>
            <w:r>
              <w:rPr>
                <w:rFonts w:ascii="Times New Roman" w:hAnsi="Times New Roman" w:eastAsia="宋体"/>
                <w:b/>
                <w:sz w:val="20"/>
              </w:rPr>
              <w:t>阶段性交付物</w:t>
            </w:r>
          </w:p>
        </w:tc>
      </w:tr>
      <w:tr>
        <w:tc>
          <w:tcPr>
            <w:tcW w:type="dxa" w:w="3120"/>
          </w:tcPr>
          <w:p>
            <w:pPr>
              <w:ind w:firstLine="0"/>
            </w:pPr>
            <w:r/>
            <w:r>
              <w:rPr>
                <w:rFonts w:ascii="Times New Roman" w:hAnsi="Times New Roman" w:eastAsia="宋体"/>
                <w:sz w:val="20"/>
              </w:rPr>
              <w:t>第1–2周（2026-10-10至10-23）</w:t>
            </w:r>
          </w:p>
        </w:tc>
        <w:tc>
          <w:tcPr>
            <w:tcW w:type="dxa" w:w="3120"/>
          </w:tcPr>
          <w:p>
            <w:pPr>
              <w:ind w:firstLine="0"/>
            </w:pPr>
            <w:r/>
            <w:r>
              <w:rPr>
                <w:rFonts w:ascii="Times New Roman" w:hAnsi="Times New Roman" w:eastAsia="宋体"/>
                <w:sz w:val="20"/>
              </w:rPr>
              <w:t>锁定开题方案；完成数据漂移/缺失审计；实现统一评价与 bootstrap</w:t>
            </w:r>
          </w:p>
        </w:tc>
        <w:tc>
          <w:tcPr>
            <w:tcW w:type="dxa" w:w="3120"/>
          </w:tcPr>
          <w:p>
            <w:pPr>
              <w:ind w:firstLine="0"/>
            </w:pPr>
            <w:r/>
            <w:r>
              <w:rPr>
                <w:rFonts w:ascii="Times New Roman" w:hAnsi="Times New Roman" w:eastAsia="宋体"/>
                <w:sz w:val="20"/>
              </w:rPr>
              <w:t>开题定稿、Table 1、指标单元测试</w:t>
            </w:r>
          </w:p>
        </w:tc>
      </w:tr>
      <w:tr>
        <w:tc>
          <w:tcPr>
            <w:tcW w:type="dxa" w:w="3120"/>
          </w:tcPr>
          <w:p>
            <w:pPr>
              <w:ind w:firstLine="0"/>
            </w:pPr>
            <w:r/>
            <w:r>
              <w:rPr>
                <w:rFonts w:ascii="Times New Roman" w:hAnsi="Times New Roman" w:eastAsia="宋体"/>
                <w:sz w:val="20"/>
              </w:rPr>
              <w:t>第3–4周（10-24至11-06）</w:t>
            </w:r>
          </w:p>
        </w:tc>
        <w:tc>
          <w:tcPr>
            <w:tcW w:type="dxa" w:w="3120"/>
          </w:tcPr>
          <w:p>
            <w:pPr>
              <w:ind w:firstLine="0"/>
            </w:pPr>
            <w:r/>
            <w:r>
              <w:rPr>
                <w:rFonts w:ascii="Times New Roman" w:hAnsi="Times New Roman" w:eastAsia="宋体"/>
                <w:sz w:val="20"/>
              </w:rPr>
              <w:t>B0/B1/B1-mask；ConvNeXt/DINOv3/MaxViT 的 B2 筛选</w:t>
            </w:r>
          </w:p>
        </w:tc>
        <w:tc>
          <w:tcPr>
            <w:tcW w:type="dxa" w:w="3120"/>
          </w:tcPr>
          <w:p>
            <w:pPr>
              <w:ind w:firstLine="0"/>
            </w:pPr>
            <w:r/>
            <w:r>
              <w:rPr>
                <w:rFonts w:ascii="Times New Roman" w:hAnsi="Times New Roman" w:eastAsia="宋体"/>
                <w:sz w:val="20"/>
              </w:rPr>
              <w:t>表格与图像基线、骨干选择记录</w:t>
            </w:r>
          </w:p>
        </w:tc>
      </w:tr>
      <w:tr>
        <w:tc>
          <w:tcPr>
            <w:tcW w:type="dxa" w:w="3120"/>
          </w:tcPr>
          <w:p>
            <w:pPr>
              <w:ind w:firstLine="0"/>
            </w:pPr>
            <w:r/>
            <w:r>
              <w:rPr>
                <w:rFonts w:ascii="Times New Roman" w:hAnsi="Times New Roman" w:eastAsia="宋体"/>
                <w:sz w:val="20"/>
              </w:rPr>
              <w:t>第5–6周（11-07至11-20）</w:t>
            </w:r>
          </w:p>
        </w:tc>
        <w:tc>
          <w:tcPr>
            <w:tcW w:type="dxa" w:w="3120"/>
          </w:tcPr>
          <w:p>
            <w:pPr>
              <w:ind w:firstLine="0"/>
            </w:pPr>
            <w:r/>
            <w:r>
              <w:rPr>
                <w:rFonts w:ascii="Times New Roman" w:hAnsi="Times New Roman" w:eastAsia="宋体"/>
                <w:sz w:val="20"/>
              </w:rPr>
              <w:t>固定骨干完成 B2/B3/B4，运行三种子</w:t>
            </w:r>
          </w:p>
        </w:tc>
        <w:tc>
          <w:tcPr>
            <w:tcW w:type="dxa" w:w="3120"/>
          </w:tcPr>
          <w:p>
            <w:pPr>
              <w:ind w:firstLine="0"/>
            </w:pPr>
            <w:r/>
            <w:r>
              <w:rPr>
                <w:rFonts w:ascii="Times New Roman" w:hAnsi="Times New Roman" w:eastAsia="宋体"/>
                <w:sz w:val="20"/>
              </w:rPr>
              <w:t>内部基线主表；满足模型冻结条件后生成 mBRSET 主外测预测文件</w:t>
            </w:r>
          </w:p>
        </w:tc>
      </w:tr>
      <w:tr>
        <w:tc>
          <w:tcPr>
            <w:tcW w:type="dxa" w:w="3120"/>
          </w:tcPr>
          <w:p>
            <w:pPr>
              <w:ind w:firstLine="0"/>
            </w:pPr>
            <w:r/>
            <w:r>
              <w:rPr>
                <w:rFonts w:ascii="Times New Roman" w:hAnsi="Times New Roman" w:eastAsia="宋体"/>
                <w:sz w:val="20"/>
              </w:rPr>
              <w:t>第7–9周（11-21至12-11）</w:t>
            </w:r>
          </w:p>
        </w:tc>
        <w:tc>
          <w:tcPr>
            <w:tcW w:type="dxa" w:w="3120"/>
          </w:tcPr>
          <w:p>
            <w:pPr>
              <w:ind w:firstLine="0"/>
            </w:pPr>
            <w:r/>
            <w:r>
              <w:rPr>
                <w:rFonts w:ascii="Times New Roman" w:hAnsi="Times New Roman" w:eastAsia="宋体"/>
                <w:sz w:val="20"/>
              </w:rPr>
              <w:t>实现 IAAM-Net；调试门控和缺失一致性</w:t>
            </w:r>
          </w:p>
        </w:tc>
        <w:tc>
          <w:tcPr>
            <w:tcW w:type="dxa" w:w="3120"/>
          </w:tcPr>
          <w:p>
            <w:pPr>
              <w:ind w:firstLine="0"/>
            </w:pPr>
            <w:r/>
            <w:r>
              <w:rPr>
                <w:rFonts w:ascii="Times New Roman" w:hAnsi="Times New Roman" w:eastAsia="宋体"/>
                <w:sz w:val="20"/>
              </w:rPr>
              <w:t>主模型、训练日志、核心消融</w:t>
            </w:r>
          </w:p>
        </w:tc>
      </w:tr>
      <w:tr>
        <w:tc>
          <w:tcPr>
            <w:tcW w:type="dxa" w:w="3120"/>
          </w:tcPr>
          <w:p>
            <w:pPr>
              <w:ind w:firstLine="0"/>
            </w:pPr>
            <w:r/>
            <w:r>
              <w:rPr>
                <w:rFonts w:ascii="Times New Roman" w:hAnsi="Times New Roman" w:eastAsia="宋体"/>
                <w:sz w:val="20"/>
              </w:rPr>
              <w:t>第10–11周（12-12至12-25）</w:t>
            </w:r>
          </w:p>
        </w:tc>
        <w:tc>
          <w:tcPr>
            <w:tcW w:type="dxa" w:w="3120"/>
          </w:tcPr>
          <w:p>
            <w:pPr>
              <w:ind w:firstLine="0"/>
            </w:pPr>
            <w:r/>
            <w:r>
              <w:rPr>
                <w:rFonts w:ascii="Times New Roman" w:hAnsi="Times New Roman" w:eastAsia="宋体"/>
                <w:sz w:val="20"/>
              </w:rPr>
              <w:t>全部消融、缺失/缺眼/不一致压力测试</w:t>
            </w:r>
          </w:p>
        </w:tc>
        <w:tc>
          <w:tcPr>
            <w:tcW w:type="dxa" w:w="3120"/>
          </w:tcPr>
          <w:p>
            <w:pPr>
              <w:ind w:firstLine="0"/>
            </w:pPr>
            <w:r/>
            <w:r>
              <w:rPr>
                <w:rFonts w:ascii="Times New Roman" w:hAnsi="Times New Roman" w:eastAsia="宋体"/>
                <w:sz w:val="20"/>
              </w:rPr>
              <w:t>稳健性矩阵、条件校准图</w:t>
            </w:r>
          </w:p>
        </w:tc>
      </w:tr>
      <w:tr>
        <w:tc>
          <w:tcPr>
            <w:tcW w:type="dxa" w:w="3120"/>
          </w:tcPr>
          <w:p>
            <w:pPr>
              <w:ind w:firstLine="0"/>
            </w:pPr>
            <w:r/>
            <w:r>
              <w:rPr>
                <w:rFonts w:ascii="Times New Roman" w:hAnsi="Times New Roman" w:eastAsia="宋体"/>
                <w:sz w:val="20"/>
              </w:rPr>
              <w:t>第12–13周（12-26至2027-01-08）</w:t>
            </w:r>
          </w:p>
        </w:tc>
        <w:tc>
          <w:tcPr>
            <w:tcW w:type="dxa" w:w="3120"/>
          </w:tcPr>
          <w:p>
            <w:pPr>
              <w:ind w:firstLine="0"/>
            </w:pPr>
            <w:r/>
            <w:r>
              <w:rPr>
                <w:rFonts w:ascii="Times New Roman" w:hAnsi="Times New Roman" w:eastAsia="宋体"/>
                <w:sz w:val="20"/>
              </w:rPr>
              <w:t>患者级 bootstrap、决策曲线、错误分析</w:t>
            </w:r>
          </w:p>
        </w:tc>
        <w:tc>
          <w:tcPr>
            <w:tcW w:type="dxa" w:w="3120"/>
          </w:tcPr>
          <w:p>
            <w:pPr>
              <w:ind w:firstLine="0"/>
            </w:pPr>
            <w:r/>
            <w:r>
              <w:rPr>
                <w:rFonts w:ascii="Times New Roman" w:hAnsi="Times New Roman" w:eastAsia="宋体"/>
                <w:sz w:val="20"/>
              </w:rPr>
              <w:t>最终表格、图件、统计报告</w:t>
            </w:r>
          </w:p>
        </w:tc>
      </w:tr>
      <w:tr>
        <w:tc>
          <w:tcPr>
            <w:tcW w:type="dxa" w:w="3120"/>
          </w:tcPr>
          <w:p>
            <w:pPr>
              <w:ind w:firstLine="0"/>
            </w:pPr>
            <w:r/>
            <w:r>
              <w:rPr>
                <w:rFonts w:ascii="Times New Roman" w:hAnsi="Times New Roman" w:eastAsia="宋体"/>
                <w:sz w:val="20"/>
              </w:rPr>
              <w:t>第14–16周（01-09至01-29）</w:t>
            </w:r>
          </w:p>
        </w:tc>
        <w:tc>
          <w:tcPr>
            <w:tcW w:type="dxa" w:w="3120"/>
          </w:tcPr>
          <w:p>
            <w:pPr>
              <w:ind w:firstLine="0"/>
            </w:pPr>
            <w:r/>
            <w:r>
              <w:rPr>
                <w:rFonts w:ascii="Times New Roman" w:hAnsi="Times New Roman" w:eastAsia="宋体"/>
                <w:sz w:val="20"/>
              </w:rPr>
              <w:t>撰写论文、补充实验、内部审稿与投稿准备</w:t>
            </w:r>
          </w:p>
        </w:tc>
        <w:tc>
          <w:tcPr>
            <w:tcW w:type="dxa" w:w="3120"/>
          </w:tcPr>
          <w:p>
            <w:pPr>
              <w:ind w:firstLine="0"/>
            </w:pPr>
            <w:r/>
            <w:r>
              <w:rPr>
                <w:rFonts w:ascii="Times New Roman" w:hAnsi="Times New Roman" w:eastAsia="宋体"/>
                <w:sz w:val="20"/>
              </w:rPr>
              <w:t>中英文稿、补充材料、代码说明</w:t>
            </w:r>
          </w:p>
        </w:tc>
      </w:tr>
    </w:tbl>
    <w:p/>
    <w:p>
      <w:pPr/>
      <w:r>
        <w:rPr>
          <w:rFonts w:ascii="Times New Roman" w:hAnsi="Times New Roman" w:eastAsia="宋体"/>
          <w:b w:val="0"/>
          <w:i w:val="0"/>
          <w:sz w:val="24"/>
        </w:rPr>
        <w:t>第4周和第6周设置止损检查：若数据/指标实现未通过，不进入复杂模型；若临床表格或双眼交互无稳定信号，则按第9.1节转向更简约的审计型论文。</w:t>
      </w:r>
    </w:p>
    <w:p>
      <w:pPr>
        <w:pStyle w:val="Heading2"/>
      </w:pPr>
      <w:r>
        <w:t>11 预期成果与论文质量目标</w:t>
      </w:r>
    </w:p>
    <w:p>
      <w:pPr>
        <w:ind w:left="567"/>
      </w:pPr>
      <w:r>
        <w:rPr>
          <w:rFonts w:ascii="Times New Roman" w:hAnsi="Times New Roman" w:eastAsia="宋体"/>
          <w:sz w:val="22"/>
        </w:rPr>
        <w:t>1. 一套患者级双眼多视野—临床表格 DR 开发与外部测试基准；</w:t>
      </w:r>
    </w:p>
    <w:p>
      <w:pPr>
        <w:ind w:left="567"/>
      </w:pPr>
      <w:r>
        <w:rPr>
          <w:rFonts w:ascii="Times New Roman" w:hAnsi="Times New Roman" w:eastAsia="宋体"/>
          <w:sz w:val="22"/>
        </w:rPr>
        <w:t>2. 一项关于真实缺失模式、眼间不对称和复合外部偏移如何影响多模态增益的系统证据；</w:t>
      </w:r>
    </w:p>
    <w:p>
      <w:pPr>
        <w:ind w:left="567"/>
      </w:pPr>
      <w:r>
        <w:rPr>
          <w:rFonts w:ascii="Times New Roman" w:hAnsi="Times New Roman" w:eastAsia="宋体"/>
          <w:sz w:val="22"/>
        </w:rPr>
        <w:t>3. 一个经完整消融的轻量 IAAM-Net，或在假设不成立时形成同样透明的负结果/审计结论；</w:t>
      </w:r>
    </w:p>
    <w:p>
      <w:pPr>
        <w:ind w:left="567"/>
      </w:pPr>
      <w:r>
        <w:rPr>
          <w:rFonts w:ascii="Times New Roman" w:hAnsi="Times New Roman" w:eastAsia="宋体"/>
          <w:sz w:val="22"/>
        </w:rPr>
        <w:t>4. 可复现代码、配置、冻结划分、评价脚本和数据处理文档；</w:t>
      </w:r>
    </w:p>
    <w:p>
      <w:pPr>
        <w:ind w:left="567"/>
      </w:pPr>
      <w:r>
        <w:rPr>
          <w:rFonts w:ascii="Times New Roman" w:hAnsi="Times New Roman" w:eastAsia="宋体"/>
          <w:sz w:val="22"/>
        </w:rPr>
        <w:t>5. 一篇以患者级外部测试、校准、压力测试和机制消融为核心的医学影像/生物医学工程论文。</w:t>
      </w:r>
    </w:p>
    <w:p>
      <w:pPr/>
      <w:r>
        <w:rPr>
          <w:rFonts w:ascii="Times New Roman" w:hAnsi="Times New Roman" w:eastAsia="宋体"/>
          <w:b w:val="0"/>
          <w:i w:val="0"/>
          <w:sz w:val="24"/>
        </w:rPr>
        <w:t>所谓“二区论文方向”在本研究中指方法问题具有明确临床动机、与直接竞品比较充分、外部测试严格、统计和校准完整、结论边界透明；并不保证具体期刊分区或录用结果。待主要实验完成后，再依据结果强度、文章侧重和当年分区选择目标期刊。</w:t>
      </w:r>
    </w:p>
    <w:p>
      <w:pPr>
        <w:pStyle w:val="Heading2"/>
      </w:pPr>
      <w:r>
        <w:t>12 参考文献</w:t>
      </w:r>
    </w:p>
    <w:p>
      <w:pPr/>
      <w:r>
        <w:rPr>
          <w:rFonts w:ascii="Times New Roman" w:hAnsi="Times New Roman" w:eastAsia="宋体"/>
          <w:b w:val="0"/>
          <w:i w:val="0"/>
          <w:sz w:val="24"/>
        </w:rPr>
        <w:t>[1] Teo ZL, Tham YC, Yu M, et al. Global prevalence of diabetic retinopathy and projection of burden through 2045: systematic review and meta-analysis. *Ophthalmology*. 2021;128(11):1580–1591. doi:10.1016/j.ophtha.2021.04.027.</w:t>
      </w:r>
    </w:p>
    <w:p>
      <w:pPr/>
      <w:r>
        <w:rPr>
          <w:rFonts w:ascii="Times New Roman" w:hAnsi="Times New Roman" w:eastAsia="宋体"/>
          <w:b w:val="0"/>
          <w:i w:val="0"/>
          <w:sz w:val="24"/>
        </w:rPr>
        <w:t>[2] Wilkinson CP, Ferris FL III, Klein RE, et al. Proposed international clinical diabetic retinopathy and diabetic macular edema disease severity scales. *Ophthalmology*. 2003;110(9):1677–1682. doi:10.1016/S0161-6420(03)00475-5.</w:t>
      </w:r>
    </w:p>
    <w:p>
      <w:pPr/>
      <w:r>
        <w:rPr>
          <w:rFonts w:ascii="Times New Roman" w:hAnsi="Times New Roman" w:eastAsia="宋体"/>
          <w:b w:val="0"/>
          <w:i w:val="0"/>
          <w:sz w:val="24"/>
        </w:rPr>
        <w:t>[3] Gulshan V, Peng L, Coram M, et al. Development and validation of a deep learning algorithm for detection of diabetic retinopathy in retinal fundus photographs. *JAMA*. 2016;316(22):2402–2410. doi:10.1001/jama.2016.17216.</w:t>
      </w:r>
    </w:p>
    <w:p>
      <w:pPr/>
      <w:r>
        <w:rPr>
          <w:rFonts w:ascii="Times New Roman" w:hAnsi="Times New Roman" w:eastAsia="宋体"/>
          <w:b w:val="0"/>
          <w:i w:val="0"/>
          <w:sz w:val="24"/>
        </w:rPr>
        <w:t>[4] Ting DSW, Cheung CYL, Lim G, et al. Development and validation of a deep learning system for diabetic retinopathy and related eye diseases using retinal images from multiethnic populations with diabetes. *JAMA*. 2017;318(22):2211–2223. doi:10.1001/jama.2017.18152.</w:t>
      </w:r>
    </w:p>
    <w:p>
      <w:pPr/>
      <w:r>
        <w:rPr>
          <w:rFonts w:ascii="Times New Roman" w:hAnsi="Times New Roman" w:eastAsia="宋体"/>
          <w:b w:val="0"/>
          <w:i w:val="0"/>
          <w:sz w:val="24"/>
        </w:rPr>
        <w:t>[5] Nakayama LF, Restrepo D, Matos J, et al. BRSET: A Brazilian multilabel ophthalmological dataset of retina fundus photos. *PLOS Digital Health*. 2024;3(7):e0000454. doi:10.1371/journal.pdig.0000454.</w:t>
      </w:r>
    </w:p>
    <w:p>
      <w:pPr/>
      <w:r>
        <w:rPr>
          <w:rFonts w:ascii="Times New Roman" w:hAnsi="Times New Roman" w:eastAsia="宋体"/>
          <w:b w:val="0"/>
          <w:i w:val="0"/>
          <w:sz w:val="24"/>
        </w:rPr>
        <w:t>[6] Wu C, Restrepo D, Nakayama LF, et al. A portable retina fundus photos dataset for clinical, demographic, and diabetic retinopathy prediction. *Scientific Data*. 2025;12. doi:10.1038/s41597-025-04627-3.</w:t>
      </w:r>
    </w:p>
    <w:p>
      <w:pPr/>
      <w:r>
        <w:rPr>
          <w:rFonts w:ascii="Times New Roman" w:hAnsi="Times New Roman" w:eastAsia="宋体"/>
          <w:b w:val="0"/>
          <w:i w:val="0"/>
          <w:sz w:val="24"/>
        </w:rPr>
        <w:t>[7] Li et al. Comparison of foundation models and transfer learning strategies for diabetic retinopathy classification. *medRxiv*. 2026. [预印本] doi:10.64898/2026.04.17.26351092.</w:t>
      </w:r>
    </w:p>
    <w:p>
      <w:pPr/>
      <w:r>
        <w:rPr>
          <w:rFonts w:ascii="Times New Roman" w:hAnsi="Times New Roman" w:eastAsia="宋体"/>
          <w:b w:val="0"/>
          <w:i w:val="0"/>
          <w:sz w:val="24"/>
        </w:rPr>
        <w:t>[8] Raghu A, Raghu A, Tang AS, et al. InSight: AI mobile screening tool for multiple eye disease detection using multimodal fusion. *arXiv*. 2025. [预印本] arXiv:2507.12669.</w:t>
      </w:r>
    </w:p>
    <w:p>
      <w:pPr/>
      <w:r>
        <w:rPr>
          <w:rFonts w:ascii="Times New Roman" w:hAnsi="Times New Roman" w:eastAsia="宋体"/>
          <w:b w:val="0"/>
          <w:i w:val="0"/>
          <w:sz w:val="24"/>
        </w:rPr>
        <w:t>[9] Hemker K, Simidjievski N, Jamnik M. HEALNet: Multimodal fusion for heterogeneous biomedical data. *Advances in Neural Information Processing Systems*. 2024;37. doi:10.52202/079017-2057.</w:t>
      </w:r>
    </w:p>
    <w:p>
      <w:pPr/>
      <w:r>
        <w:rPr>
          <w:rFonts w:ascii="Times New Roman" w:hAnsi="Times New Roman" w:eastAsia="宋体"/>
          <w:b w:val="0"/>
          <w:i w:val="0"/>
          <w:sz w:val="24"/>
        </w:rPr>
        <w:t>[10] Groenwold RHH. Informative missingness in electronic health record systems: the curse of knowing. *Journal of Clinical Epidemiology*. 2020;126:133–136. PMCID:PMC7371469.</w:t>
      </w:r>
    </w:p>
    <w:p>
      <w:pPr/>
      <w:r>
        <w:rPr>
          <w:rFonts w:ascii="Times New Roman" w:hAnsi="Times New Roman" w:eastAsia="宋体"/>
          <w:b w:val="0"/>
          <w:i w:val="0"/>
          <w:sz w:val="24"/>
        </w:rPr>
        <w:t>[11] Boland C, Goatman KA, Tsaftaris SA, Dahdouh S. There are no shortcuts to anywhere worth going: identifying shortcuts in deep learning models for medical image analysis. *Proceedings of MIDL*. 2024;PMLR 250:131–150.</w:t>
      </w:r>
    </w:p>
    <w:p>
      <w:pPr/>
      <w:r>
        <w:rPr>
          <w:rFonts w:ascii="Times New Roman" w:hAnsi="Times New Roman" w:eastAsia="宋体"/>
          <w:b w:val="0"/>
          <w:i w:val="0"/>
          <w:sz w:val="24"/>
        </w:rPr>
        <w:t>[12] Ling et al. A deep learning system for predicting time to progression of diabetic retinopathy. *Nature Medicine*. 2024;30:584–594. doi:10.1038/s41591-023-02702-z.</w:t>
      </w:r>
    </w:p>
    <w:p>
      <w:pPr/>
      <w:r>
        <w:rPr>
          <w:rFonts w:ascii="Times New Roman" w:hAnsi="Times New Roman" w:eastAsia="宋体"/>
          <w:b w:val="0"/>
          <w:i w:val="0"/>
          <w:sz w:val="24"/>
        </w:rPr>
        <w:t>[13] Azad R, Sinha S, Nishant P. Asymmetric diabetic retinopathy. *Indian Journal of Ophthalmology*. 2021;69(11):3026–3034. doi:10.4103/ijo.IJO_1525_21.</w:t>
      </w:r>
    </w:p>
    <w:p>
      <w:pPr/>
      <w:r>
        <w:rPr>
          <w:rFonts w:ascii="Times New Roman" w:hAnsi="Times New Roman" w:eastAsia="宋体"/>
          <w:b w:val="0"/>
          <w:i w:val="0"/>
          <w:sz w:val="24"/>
        </w:rPr>
        <w:t>[14] Collins GS, Moons KGM, Dhiman P, et al. TRIPOD+AI statement: updated guidance for reporting clinical prediction models that use regression or machine learning methods. *BMJ*. 2024;385:e078378. doi:10.1136/bmj-2023-078378.</w:t>
      </w:r>
    </w:p>
    <w:p>
      <w:pPr/>
      <w:r>
        <w:rPr>
          <w:rFonts w:ascii="Times New Roman" w:hAnsi="Times New Roman" w:eastAsia="宋体"/>
          <w:b w:val="0"/>
          <w:i w:val="0"/>
          <w:sz w:val="24"/>
        </w:rPr>
        <w:t>[15] Tejani AS, Klontzas ME, Gatti AA, et al. Checklist for Artificial Intelligence in Medical Imaging (CLAIM): 2024 update. *Radiology: Artificial Intelligence*. 2024;6(4). doi:10.1148/ryai.240300.</w:t>
      </w:r>
    </w:p>
    <w:p>
      <w:pPr/>
      <w:r>
        <w:rPr>
          <w:rFonts w:ascii="Times New Roman" w:hAnsi="Times New Roman" w:eastAsia="宋体"/>
          <w:b w:val="0"/>
          <w:i w:val="0"/>
          <w:sz w:val="24"/>
        </w:rPr>
        <w:t>[16] Lekadir K, et al. FUTURE-AI: international consensus guideline for trustworthy and deployable artificial intelligence in healthcare. *BMJ*. 2025;388:e081554. doi:10.1136/bmj-2024-081554.</w:t>
      </w:r>
    </w:p>
    <w:p>
      <w:pPr>
        <w:pStyle w:val="Heading2"/>
      </w:pPr>
      <w:r>
        <w:t>附录A 当前已冻结的关键项目资产</w:t>
      </w:r>
    </w:p>
    <w:tbl>
      <w:tblPr>
        <w:tblStyle w:val="TableGrid"/>
        <w:tblW w:type="auto" w:w="0"/>
        <w:tblLook w:firstColumn="1" w:firstRow="1" w:lastColumn="0" w:lastRow="0" w:noHBand="0" w:noVBand="1" w:val="04A0"/>
      </w:tblPr>
      <w:tblGrid>
        <w:gridCol w:w="3120"/>
        <w:gridCol w:w="3120"/>
        <w:gridCol w:w="3120"/>
      </w:tblGrid>
      <w:tr>
        <w:tc>
          <w:tcPr>
            <w:tcW w:type="dxa" w:w="3120"/>
          </w:tcPr>
          <w:p>
            <w:pPr>
              <w:ind w:firstLine="0"/>
            </w:pPr>
            <w:r/>
            <w:r>
              <w:rPr>
                <w:rFonts w:ascii="Times New Roman" w:hAnsi="Times New Roman" w:eastAsia="宋体"/>
                <w:b/>
                <w:sz w:val="20"/>
              </w:rPr>
              <w:t>资产</w:t>
            </w:r>
          </w:p>
        </w:tc>
        <w:tc>
          <w:tcPr>
            <w:tcW w:type="dxa" w:w="3120"/>
          </w:tcPr>
          <w:p>
            <w:pPr>
              <w:ind w:firstLine="0"/>
            </w:pPr>
            <w:r/>
            <w:r>
              <w:rPr>
                <w:rFonts w:ascii="Times New Roman" w:hAnsi="Times New Roman" w:eastAsia="宋体"/>
                <w:b/>
                <w:sz w:val="20"/>
              </w:rPr>
              <w:t>位置/版本</w:t>
            </w:r>
          </w:p>
        </w:tc>
        <w:tc>
          <w:tcPr>
            <w:tcW w:type="dxa" w:w="3120"/>
          </w:tcPr>
          <w:p>
            <w:pPr>
              <w:ind w:firstLine="0"/>
            </w:pPr>
            <w:r/>
            <w:r>
              <w:rPr>
                <w:rFonts w:ascii="Times New Roman" w:hAnsi="Times New Roman" w:eastAsia="宋体"/>
                <w:b/>
                <w:sz w:val="20"/>
              </w:rPr>
              <w:t>状态</w:t>
            </w:r>
          </w:p>
        </w:tc>
      </w:tr>
      <w:tr>
        <w:tc>
          <w:tcPr>
            <w:tcW w:type="dxa" w:w="3120"/>
          </w:tcPr>
          <w:p>
            <w:pPr>
              <w:ind w:firstLine="0"/>
            </w:pPr>
            <w:r/>
            <w:r>
              <w:rPr>
                <w:rFonts w:ascii="Times New Roman" w:hAnsi="Times New Roman" w:eastAsia="宋体"/>
                <w:sz w:val="20"/>
              </w:rPr>
              <w:t>预处理协议</w:t>
            </w:r>
          </w:p>
        </w:tc>
        <w:tc>
          <w:tcPr>
            <w:tcW w:type="dxa" w:w="3120"/>
          </w:tcPr>
          <w:p>
            <w:pPr>
              <w:ind w:firstLine="0"/>
            </w:pPr>
            <w:r/>
            <w:r>
              <w:rPr>
                <w:rFonts w:ascii="Times New Roman" w:hAnsi="Times New Roman" w:eastAsia="宋体"/>
                <w:sz w:val="20"/>
              </w:rPr>
              <w:t>`docs/image_preprocessing_protocol_v1.md`</w:t>
            </w:r>
          </w:p>
        </w:tc>
        <w:tc>
          <w:tcPr>
            <w:tcW w:type="dxa" w:w="3120"/>
          </w:tcPr>
          <w:p>
            <w:pPr>
              <w:ind w:firstLine="0"/>
            </w:pPr>
            <w:r/>
            <w:r>
              <w:rPr>
                <w:rFonts w:ascii="Times New Roman" w:hAnsi="Times New Roman" w:eastAsia="宋体"/>
                <w:sz w:val="20"/>
              </w:rPr>
              <w:t>已冻结并完成</w:t>
            </w:r>
          </w:p>
        </w:tc>
      </w:tr>
      <w:tr>
        <w:tc>
          <w:tcPr>
            <w:tcW w:type="dxa" w:w="3120"/>
          </w:tcPr>
          <w:p>
            <w:pPr>
              <w:ind w:firstLine="0"/>
            </w:pPr>
            <w:r/>
            <w:r>
              <w:rPr>
                <w:rFonts w:ascii="Times New Roman" w:hAnsi="Times New Roman" w:eastAsia="宋体"/>
                <w:sz w:val="20"/>
              </w:rPr>
              <w:t>预处理数据</w:t>
            </w:r>
          </w:p>
        </w:tc>
        <w:tc>
          <w:tcPr>
            <w:tcW w:type="dxa" w:w="3120"/>
          </w:tcPr>
          <w:p>
            <w:pPr>
              <w:ind w:firstLine="0"/>
            </w:pPr>
            <w:r/>
            <w:r>
              <w:rPr>
                <w:rFonts w:ascii="Times New Roman" w:hAnsi="Times New Roman" w:eastAsia="宋体"/>
                <w:sz w:val="20"/>
              </w:rPr>
              <w:t>`fundus_512_v1`</w:t>
            </w:r>
          </w:p>
        </w:tc>
        <w:tc>
          <w:tcPr>
            <w:tcW w:type="dxa" w:w="3120"/>
          </w:tcPr>
          <w:p>
            <w:pPr>
              <w:ind w:firstLine="0"/>
            </w:pPr>
            <w:r/>
            <w:r>
              <w:rPr>
                <w:rFonts w:ascii="Times New Roman" w:hAnsi="Times New Roman" w:eastAsia="宋体"/>
                <w:sz w:val="20"/>
              </w:rPr>
              <w:t>21,430 张，已QC</w:t>
            </w:r>
          </w:p>
        </w:tc>
      </w:tr>
      <w:tr>
        <w:tc>
          <w:tcPr>
            <w:tcW w:type="dxa" w:w="3120"/>
          </w:tcPr>
          <w:p>
            <w:pPr>
              <w:ind w:firstLine="0"/>
            </w:pPr>
            <w:r/>
            <w:r>
              <w:rPr>
                <w:rFonts w:ascii="Times New Roman" w:hAnsi="Times New Roman" w:eastAsia="宋体"/>
                <w:sz w:val="20"/>
              </w:rPr>
              <w:t>实验协议</w:t>
            </w:r>
          </w:p>
        </w:tc>
        <w:tc>
          <w:tcPr>
            <w:tcW w:type="dxa" w:w="3120"/>
          </w:tcPr>
          <w:p>
            <w:pPr>
              <w:ind w:firstLine="0"/>
            </w:pPr>
            <w:r/>
            <w:r>
              <w:rPr>
                <w:rFonts w:ascii="Times New Roman" w:hAnsi="Times New Roman" w:eastAsia="宋体"/>
                <w:sz w:val="20"/>
              </w:rPr>
              <w:t>`docs/experiment_protocol_v1.md`</w:t>
            </w:r>
          </w:p>
        </w:tc>
        <w:tc>
          <w:tcPr>
            <w:tcW w:type="dxa" w:w="3120"/>
          </w:tcPr>
          <w:p>
            <w:pPr>
              <w:ind w:firstLine="0"/>
            </w:pPr>
            <w:r/>
            <w:r>
              <w:rPr>
                <w:rFonts w:ascii="Times New Roman" w:hAnsi="Times New Roman" w:eastAsia="宋体"/>
                <w:sz w:val="20"/>
              </w:rPr>
              <w:t>已冻结</w:t>
            </w:r>
          </w:p>
        </w:tc>
      </w:tr>
      <w:tr>
        <w:tc>
          <w:tcPr>
            <w:tcW w:type="dxa" w:w="3120"/>
          </w:tcPr>
          <w:p>
            <w:pPr>
              <w:ind w:firstLine="0"/>
            </w:pPr>
            <w:r/>
            <w:r>
              <w:rPr>
                <w:rFonts w:ascii="Times New Roman" w:hAnsi="Times New Roman" w:eastAsia="宋体"/>
                <w:sz w:val="20"/>
              </w:rPr>
              <w:t>患者划分</w:t>
            </w:r>
          </w:p>
        </w:tc>
        <w:tc>
          <w:tcPr>
            <w:tcW w:type="dxa" w:w="3120"/>
          </w:tcPr>
          <w:p>
            <w:pPr>
              <w:ind w:firstLine="0"/>
            </w:pPr>
            <w:r/>
            <w:r>
              <w:rPr>
                <w:rFonts w:ascii="Times New Roman" w:hAnsi="Times New Roman" w:eastAsia="宋体"/>
                <w:sz w:val="20"/>
              </w:rPr>
              <w:t>`patient_split_v1`</w:t>
            </w:r>
          </w:p>
        </w:tc>
        <w:tc>
          <w:tcPr>
            <w:tcW w:type="dxa" w:w="3120"/>
          </w:tcPr>
          <w:p>
            <w:pPr>
              <w:ind w:firstLine="0"/>
            </w:pPr>
            <w:r/>
            <w:r>
              <w:rPr>
                <w:rFonts w:ascii="Times New Roman" w:hAnsi="Times New Roman" w:eastAsia="宋体"/>
                <w:sz w:val="20"/>
              </w:rPr>
              <w:t>SHA256 已记录</w:t>
            </w:r>
          </w:p>
        </w:tc>
      </w:tr>
      <w:tr>
        <w:tc>
          <w:tcPr>
            <w:tcW w:type="dxa" w:w="3120"/>
          </w:tcPr>
          <w:p>
            <w:pPr>
              <w:ind w:firstLine="0"/>
            </w:pPr>
            <w:r/>
            <w:r>
              <w:rPr>
                <w:rFonts w:ascii="Times New Roman" w:hAnsi="Times New Roman" w:eastAsia="宋体"/>
                <w:sz w:val="20"/>
              </w:rPr>
              <w:t>DataLoader 约定</w:t>
            </w:r>
          </w:p>
        </w:tc>
        <w:tc>
          <w:tcPr>
            <w:tcW w:type="dxa" w:w="3120"/>
          </w:tcPr>
          <w:p>
            <w:pPr>
              <w:ind w:firstLine="0"/>
            </w:pPr>
            <w:r/>
            <w:r>
              <w:rPr>
                <w:rFonts w:ascii="Times New Roman" w:hAnsi="Times New Roman" w:eastAsia="宋体"/>
                <w:sz w:val="20"/>
              </w:rPr>
              <w:t>`docs/patient_dataloader_contract_v1.md`</w:t>
            </w:r>
          </w:p>
        </w:tc>
        <w:tc>
          <w:tcPr>
            <w:tcW w:type="dxa" w:w="3120"/>
          </w:tcPr>
          <w:p>
            <w:pPr>
              <w:ind w:firstLine="0"/>
            </w:pPr>
            <w:r/>
            <w:r>
              <w:rPr>
                <w:rFonts w:ascii="Times New Roman" w:hAnsi="Times New Roman" w:eastAsia="宋体"/>
                <w:sz w:val="20"/>
              </w:rPr>
              <w:t>已实现、19项测试通过</w:t>
            </w:r>
          </w:p>
        </w:tc>
      </w:tr>
      <w:tr>
        <w:tc>
          <w:tcPr>
            <w:tcW w:type="dxa" w:w="3120"/>
          </w:tcPr>
          <w:p>
            <w:pPr>
              <w:ind w:firstLine="0"/>
            </w:pPr>
            <w:r/>
            <w:r>
              <w:rPr>
                <w:rFonts w:ascii="Times New Roman" w:hAnsi="Times New Roman" w:eastAsia="宋体"/>
                <w:sz w:val="20"/>
              </w:rPr>
              <w:t>模型策略</w:t>
            </w:r>
          </w:p>
        </w:tc>
        <w:tc>
          <w:tcPr>
            <w:tcW w:type="dxa" w:w="3120"/>
          </w:tcPr>
          <w:p>
            <w:pPr>
              <w:ind w:firstLine="0"/>
            </w:pPr>
            <w:r/>
            <w:r>
              <w:rPr>
                <w:rFonts w:ascii="Times New Roman" w:hAnsi="Times New Roman" w:eastAsia="宋体"/>
                <w:sz w:val="20"/>
              </w:rPr>
              <w:t>`docs/model_strategy_v1.md`</w:t>
            </w:r>
          </w:p>
        </w:tc>
        <w:tc>
          <w:tcPr>
            <w:tcW w:type="dxa" w:w="3120"/>
          </w:tcPr>
          <w:p>
            <w:pPr>
              <w:ind w:firstLine="0"/>
            </w:pPr>
            <w:r/>
            <w:r>
              <w:rPr>
                <w:rFonts w:ascii="Times New Roman" w:hAnsi="Times New Roman" w:eastAsia="宋体"/>
                <w:sz w:val="20"/>
              </w:rPr>
              <w:t>已形成，待基线验证</w:t>
            </w:r>
          </w:p>
        </w:tc>
      </w:tr>
    </w:tbl>
    <w:p/>
    <w:p>
      <w:pPr>
        <w:pStyle w:val="Heading2"/>
      </w:pPr>
      <w:r>
        <w:t>附录B 开题答辩时应强调的边界</w:t>
      </w:r>
    </w:p>
    <w:p>
      <w:pPr>
        <w:ind w:left="567"/>
      </w:pPr>
      <w:r>
        <w:rPr>
          <w:rFonts w:ascii="Times New Roman" w:hAnsi="Times New Roman" w:eastAsia="宋体"/>
          <w:sz w:val="22"/>
        </w:rPr>
        <w:t>1. 本研究不是把 CNN 与 Transformer 拼接作为创新，而是研究多模态信息在真实缺失和外部偏移下何时可靠。</w:t>
      </w:r>
    </w:p>
    <w:p>
      <w:pPr>
        <w:ind w:left="567"/>
      </w:pPr>
      <w:r>
        <w:rPr>
          <w:rFonts w:ascii="Times New Roman" w:hAnsi="Times New Roman" w:eastAsia="宋体"/>
          <w:sz w:val="22"/>
        </w:rPr>
        <w:t>2. mBRSET 是外部测试集，不参与任何模型选择；这是论文证据等级的关键。</w:t>
      </w:r>
    </w:p>
    <w:p>
      <w:pPr>
        <w:ind w:left="567"/>
      </w:pPr>
      <w:r>
        <w:rPr>
          <w:rFonts w:ascii="Times New Roman" w:hAnsi="Times New Roman" w:eastAsia="宋体"/>
          <w:sz w:val="22"/>
        </w:rPr>
        <w:t>3. 当前已有完整数据与工程基础，但尚无训练结果；模型优越性是待检验假设。</w:t>
      </w:r>
    </w:p>
    <w:p>
      <w:pPr>
        <w:ind w:left="567"/>
      </w:pPr>
      <w:r>
        <w:rPr>
          <w:rFonts w:ascii="Times New Roman" w:hAnsi="Times New Roman" w:eastAsia="宋体"/>
          <w:sz w:val="22"/>
        </w:rPr>
        <w:t>4. 如果复杂模型未稳定超过 B4，选择简单模型同样是科学结论，不能根据外部测试反复修改方法。</w:t>
      </w:r>
    </w:p>
    <w:p>
      <w:pPr>
        <w:ind w:left="567"/>
      </w:pPr>
      <w:r>
        <w:rPr>
          <w:rFonts w:ascii="Times New Roman" w:hAnsi="Times New Roman" w:eastAsia="宋体"/>
          <w:sz w:val="22"/>
        </w:rPr>
        <w:t>5. 研究输出是技术性能和可靠性证据，不直接等同于临床部署或患者获益。</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