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6B4F"/>
          <w:sz w:val="40"/>
          <w:szCs w:val="40"/>
        </w:rPr>
        <w:t xml:space="preserve">JUICE VIBE WASKADUWA</w:t>
      </w:r>
    </w:p>
    <w:p>
      <w:pPr>
        <w:spacing w:after="300"/>
        <w:jc w:val="center"/>
      </w:pPr>
      <w:r>
        <w:rPr>
          <w:b/>
          <w:bCs/>
          <w:color w:val="F2994A"/>
          <w:sz w:val="26"/>
          <w:szCs w:val="26"/>
        </w:rPr>
        <w:t xml:space="preserve">.LK Domain Registration - Provider Comparison &amp;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AF3ED" w:val="clear"/>
            <w:tcMar>
              <w:top w:type="dxa" w:w="100"/>
              <w:left w:type="dxa" w:w="120"/>
              <w:bottom w:type="dxa" w:w="100"/>
              <w:right w:type="dxa" w:w="120"/>
            </w:tcMar>
          </w:tcPr>
          <w:p>
            <w:pPr>
              <w:jc w:val="left"/>
            </w:pPr>
            <w:r>
              <w:rPr>
                <w:b/>
                <w:bCs/>
                <w:color w:val="222222"/>
                <w:sz w:val="20"/>
                <w:szCs w:val="20"/>
              </w:rPr>
              <w:t xml:space="preserve">Prepared For</w:t>
            </w:r>
          </w:p>
        </w:tc>
        <w:tc>
          <w:tcPr>
            <w:tcW w:type="dxa" w:w="2340"/>
            <w:tcMar>
              <w:top w:type="dxa" w:w="100"/>
              <w:left w:type="dxa" w:w="120"/>
              <w:bottom w:type="dxa" w:w="100"/>
              <w:right w:type="dxa" w:w="120"/>
            </w:tcMar>
          </w:tcPr>
          <w:p>
            <w:pPr>
              <w:jc w:val="left"/>
            </w:pPr>
            <w:r>
              <w:rPr>
                <w:b w:val="false"/>
                <w:bCs w:val="false"/>
                <w:color w:val="222222"/>
                <w:sz w:val="20"/>
                <w:szCs w:val="20"/>
              </w:rPr>
              <w:t xml:space="preserve">Juice Vibe Waskaduwa</w:t>
            </w:r>
          </w:p>
        </w:tc>
        <w:tc>
          <w:tcPr>
            <w:tcW w:type="dxa" w:w="2340"/>
            <w:shd w:fill="EAF3ED" w:val="clear"/>
            <w:tcMar>
              <w:top w:type="dxa" w:w="100"/>
              <w:left w:type="dxa" w:w="120"/>
              <w:bottom w:type="dxa" w:w="100"/>
              <w:right w:type="dxa" w:w="120"/>
            </w:tcMar>
          </w:tcPr>
          <w:p>
            <w:pPr>
              <w:jc w:val="left"/>
            </w:pPr>
            <w:r>
              <w:rPr>
                <w:b/>
                <w:bCs/>
                <w:color w:val="222222"/>
                <w:sz w:val="20"/>
                <w:szCs w:val="20"/>
              </w:rPr>
              <w:t xml:space="preserve">Date</w:t>
            </w:r>
          </w:p>
        </w:tc>
        <w:tc>
          <w:tcPr>
            <w:tcW w:type="dxa" w:w="2340"/>
            <w:tcMar>
              <w:top w:type="dxa" w:w="100"/>
              <w:left w:type="dxa" w:w="120"/>
              <w:bottom w:type="dxa" w:w="100"/>
              <w:right w:type="dxa" w:w="120"/>
            </w:tcMar>
          </w:tcPr>
          <w:p>
            <w:pPr>
              <w:jc w:val="left"/>
            </w:pPr>
            <w:r>
              <w:rPr>
                <w:b w:val="false"/>
                <w:bCs w:val="false"/>
                <w:color w:val="222222"/>
                <w:sz w:val="20"/>
                <w:szCs w:val="20"/>
              </w:rPr>
              <w:t xml:space="preserve">July 22, 2026</w:t>
            </w:r>
          </w:p>
        </w:tc>
      </w:tr>
      <w:tr>
        <w:tc>
          <w:tcPr>
            <w:tcW w:type="dxa" w:w="2340"/>
            <w:shd w:fill="EAF3ED" w:val="clear"/>
            <w:tcMar>
              <w:top w:type="dxa" w:w="100"/>
              <w:left w:type="dxa" w:w="120"/>
              <w:bottom w:type="dxa" w:w="100"/>
              <w:right w:type="dxa" w:w="120"/>
            </w:tcMar>
          </w:tcPr>
          <w:p>
            <w:pPr>
              <w:jc w:val="left"/>
            </w:pPr>
            <w:r>
              <w:rPr>
                <w:b/>
                <w:bCs/>
                <w:color w:val="222222"/>
                <w:sz w:val="20"/>
                <w:szCs w:val="20"/>
              </w:rPr>
              <w:t xml:space="preserve">Prepared By</w:t>
            </w:r>
          </w:p>
        </w:tc>
        <w:tc>
          <w:tcPr>
            <w:tcW w:type="dxa" w:w="2340"/>
            <w:tcMar>
              <w:top w:type="dxa" w:w="100"/>
              <w:left w:type="dxa" w:w="120"/>
              <w:bottom w:type="dxa" w:w="100"/>
              <w:right w:type="dxa" w:w="120"/>
            </w:tcMar>
          </w:tcPr>
          <w:p>
            <w:pPr>
              <w:jc w:val="left"/>
            </w:pPr>
            <w:r>
              <w:rPr>
                <w:b w:val="false"/>
                <w:bCs w:val="false"/>
                <w:color w:val="222222"/>
                <w:sz w:val="20"/>
                <w:szCs w:val="20"/>
              </w:rPr>
              <w:t xml:space="preserve">Dulanjaya Lakruwan</w:t>
            </w:r>
          </w:p>
        </w:tc>
        <w:tc>
          <w:tcPr>
            <w:tcW w:type="dxa" w:w="2340"/>
            <w:shd w:fill="EAF3ED" w:val="clear"/>
            <w:tcMar>
              <w:top w:type="dxa" w:w="100"/>
              <w:left w:type="dxa" w:w="120"/>
              <w:bottom w:type="dxa" w:w="100"/>
              <w:right w:type="dxa" w:w="120"/>
            </w:tcMar>
          </w:tcPr>
          <w:p>
            <w:pPr>
              <w:jc w:val="left"/>
            </w:pPr>
            <w:r>
              <w:rPr>
                <w:b/>
                <w:bCs/>
                <w:color w:val="222222"/>
                <w:sz w:val="20"/>
                <w:szCs w:val="20"/>
              </w:rPr>
              <w:t xml:space="preserve">Domain Recommended</w:t>
            </w:r>
          </w:p>
        </w:tc>
        <w:tc>
          <w:tcPr>
            <w:tcW w:type="dxa" w:w="2340"/>
            <w:tcMar>
              <w:top w:type="dxa" w:w="100"/>
              <w:left w:type="dxa" w:w="120"/>
              <w:bottom w:type="dxa" w:w="100"/>
              <w:right w:type="dxa" w:w="120"/>
            </w:tcMar>
          </w:tcPr>
          <w:p>
            <w:pPr>
              <w:jc w:val="left"/>
            </w:pPr>
            <w:r>
              <w:rPr>
                <w:b w:val="false"/>
                <w:bCs w:val="false"/>
                <w:color w:val="222222"/>
                <w:sz w:val="20"/>
                <w:szCs w:val="20"/>
              </w:rPr>
              <w:t xml:space="preserve">juicevibe.lk</w:t>
            </w:r>
          </w:p>
        </w:tc>
      </w:tr>
    </w:tbl>
    <w:p>
      <w:pPr>
        <w:pStyle w:val="Heading1"/>
        <w:pBdr>
          <w:bottom w:val="single" w:color="2F6B4F" w:sz="6" w:space="4"/>
        </w:pBdr>
        <w:spacing w:after="160" w:before="360"/>
      </w:pPr>
      <w:r>
        <w:rPr>
          <w:b/>
          <w:bCs/>
          <w:color w:val="2F6B4F"/>
          <w:sz w:val="30"/>
          <w:szCs w:val="30"/>
        </w:rPr>
        <w:t xml:space="preserve">1. Purpose of This Report</w:t>
      </w:r>
    </w:p>
    <w:p>
      <w:pPr>
        <w:spacing w:after="160" w:line="300"/>
      </w:pPr>
      <w:r>
        <w:rPr>
          <w:color w:val="222222"/>
          <w:sz w:val="22"/>
          <w:szCs w:val="22"/>
        </w:rPr>
        <w:t xml:space="preserve">Juice Vibe's website development is complete and ready for production launch. Before the site goes live, the business needs its own official web address (domain name). This report compares the two leading .LK domain registration providers in Sri Lanka - Register.lk and DomainSearch.LK - so that Juice Vibe can make an informed decision on which provider to register juicevibe.lk with.</w:t>
      </w:r>
    </w:p>
    <w:p>
      <w:pPr>
        <w:spacing w:after="160" w:line="300"/>
      </w:pPr>
      <w:r>
        <w:rPr>
          <w:color w:val="222222"/>
          <w:sz w:val="22"/>
          <w:szCs w:val="22"/>
        </w:rPr>
        <w:t xml:space="preserve">Both providers are legitimate, authorized resellers of the LK Domain Registry. The comparison below focuses on price, requirements, speed, and reliability.</w:t>
      </w:r>
    </w:p>
    <w:p>
      <w:pPr>
        <w:pStyle w:val="Heading1"/>
        <w:pBdr>
          <w:bottom w:val="single" w:color="2F6B4F" w:sz="6" w:space="4"/>
        </w:pBdr>
        <w:spacing w:after="160" w:before="360"/>
      </w:pPr>
      <w:r>
        <w:rPr>
          <w:b/>
          <w:bCs/>
          <w:color w:val="2F6B4F"/>
          <w:sz w:val="30"/>
          <w:szCs w:val="30"/>
        </w:rPr>
        <w:t xml:space="preserve">2. Why juicevibe.lk</w:t>
      </w:r>
    </w:p>
    <w:p>
      <w:pPr>
        <w:pStyle w:val="ListParagraph"/>
        <w:numPr>
          <w:ilvl w:val="0"/>
          <w:numId w:val="1"/>
        </w:numPr>
        <w:spacing w:after="80"/>
      </w:pPr>
      <w:r>
        <w:rPr>
          <w:color w:val="222222"/>
          <w:sz w:val="22"/>
          <w:szCs w:val="22"/>
        </w:rPr>
        <w:t xml:space="preserve">Represents Juice Vibe as a genuine, locally registered Sri Lankan business.</w:t>
      </w:r>
    </w:p>
    <w:p>
      <w:pPr>
        <w:pStyle w:val="ListParagraph"/>
        <w:numPr>
          <w:ilvl w:val="0"/>
          <w:numId w:val="1"/>
        </w:numPr>
        <w:spacing w:after="80"/>
      </w:pPr>
      <w:r>
        <w:rPr>
          <w:color w:val="222222"/>
          <w:sz w:val="22"/>
          <w:szCs w:val="22"/>
        </w:rPr>
        <w:t xml:space="preserve">Easy for customers in Waskaduwa, Bentota, and surrounding areas to remember and trust.</w:t>
      </w:r>
    </w:p>
    <w:p>
      <w:pPr>
        <w:pStyle w:val="ListParagraph"/>
        <w:numPr>
          <w:ilvl w:val="0"/>
          <w:numId w:val="1"/>
        </w:numPr>
        <w:spacing w:after="80"/>
      </w:pPr>
      <w:r>
        <w:rPr>
          <w:color w:val="222222"/>
          <w:sz w:val="22"/>
          <w:szCs w:val="22"/>
        </w:rPr>
        <w:t xml:space="preserve">Gives a professional, credible appearance on Google, social media, and printed materials.</w:t>
      </w:r>
    </w:p>
    <w:p>
      <w:pPr>
        <w:pStyle w:val="ListParagraph"/>
        <w:numPr>
          <w:ilvl w:val="0"/>
          <w:numId w:val="1"/>
        </w:numPr>
        <w:spacing w:after="80"/>
      </w:pPr>
      <w:r>
        <w:rPr>
          <w:color w:val="222222"/>
          <w:sz w:val="22"/>
          <w:szCs w:val="22"/>
        </w:rPr>
        <w:t xml:space="preserve">Improves local search ranking (Google tends to favour country-specific domains for local searches).</w:t>
      </w:r>
    </w:p>
    <w:p>
      <w:pPr>
        <w:pStyle w:val="ListParagraph"/>
        <w:numPr>
          <w:ilvl w:val="0"/>
          <w:numId w:val="1"/>
        </w:numPr>
        <w:spacing w:after="80"/>
      </w:pPr>
      <w:r>
        <w:rPr>
          <w:color w:val="222222"/>
          <w:sz w:val="22"/>
          <w:szCs w:val="22"/>
        </w:rPr>
        <w:t xml:space="preserve">Domain will be registered fully under Juice Vibe's ownership - not under the developer's name.</w:t>
      </w:r>
    </w:p>
    <w:p>
      <w:pPr>
        <w:pStyle w:val="Heading1"/>
        <w:pBdr>
          <w:bottom w:val="single" w:color="2F6B4F" w:sz="6" w:space="4"/>
        </w:pBdr>
        <w:spacing w:after="160" w:before="360"/>
      </w:pPr>
      <w:r>
        <w:rPr>
          <w:b/>
          <w:bCs/>
          <w:color w:val="2F6B4F"/>
          <w:sz w:val="30"/>
          <w:szCs w:val="30"/>
        </w:rPr>
        <w:t xml:space="preserve">3. Provider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230"/>
        <w:gridCol w:w="2230"/>
      </w:tblGrid>
      <w:tr>
        <w:trPr>
          <w:tblHeader/>
        </w:trPr>
        <w:tc>
          <w:tcPr>
            <w:tcW w:type="dxa" w:w="2400"/>
            <w:shd w:fill="2F6B4F" w:val="clear"/>
            <w:tcMar>
              <w:top w:type="dxa" w:w="100"/>
              <w:left w:type="dxa" w:w="120"/>
              <w:bottom w:type="dxa" w:w="100"/>
              <w:right w:type="dxa" w:w="120"/>
            </w:tcMar>
          </w:tcPr>
          <w:p>
            <w:pPr>
              <w:jc w:val="left"/>
            </w:pPr>
            <w:r>
              <w:rPr>
                <w:b/>
                <w:bCs/>
                <w:color w:val="FFFFFF"/>
                <w:sz w:val="20"/>
                <w:szCs w:val="20"/>
              </w:rPr>
              <w:t xml:space="preserve">Feature</w:t>
            </w:r>
          </w:p>
        </w:tc>
        <w:tc>
          <w:tcPr>
            <w:tcW w:type="dxa" w:w="2500"/>
            <w:shd w:fill="2F6B4F" w:val="clear"/>
            <w:tcMar>
              <w:top w:type="dxa" w:w="100"/>
              <w:left w:type="dxa" w:w="120"/>
              <w:bottom w:type="dxa" w:w="100"/>
              <w:right w:type="dxa" w:w="120"/>
            </w:tcMar>
          </w:tcPr>
          <w:p>
            <w:pPr>
              <w:jc w:val="left"/>
            </w:pPr>
            <w:r>
              <w:rPr>
                <w:b/>
                <w:bCs/>
                <w:color w:val="FFFFFF"/>
                <w:sz w:val="20"/>
                <w:szCs w:val="20"/>
              </w:rPr>
              <w:t xml:space="preserve">Register.lk</w:t>
            </w:r>
          </w:p>
        </w:tc>
        <w:tc>
          <w:tcPr>
            <w:tcW w:type="dxa" w:w="2230"/>
            <w:shd w:fill="2F6B4F" w:val="clear"/>
            <w:tcMar>
              <w:top w:type="dxa" w:w="100"/>
              <w:left w:type="dxa" w:w="120"/>
              <w:bottom w:type="dxa" w:w="100"/>
              <w:right w:type="dxa" w:w="120"/>
            </w:tcMar>
          </w:tcPr>
          <w:p>
            <w:pPr>
              <w:jc w:val="left"/>
            </w:pPr>
            <w:r>
              <w:rPr>
                <w:b/>
                <w:bCs/>
                <w:color w:val="FFFFFF"/>
                <w:sz w:val="20"/>
                <w:szCs w:val="20"/>
              </w:rPr>
              <w:t xml:space="preserve">DomainSearch.LK</w:t>
            </w:r>
          </w:p>
        </w:tc>
        <w:tc>
          <w:tcPr>
            <w:tcW w:type="dxa" w:w="2230"/>
            <w:shd w:fill="2F6B4F" w:val="clear"/>
            <w:tcMar>
              <w:top w:type="dxa" w:w="100"/>
              <w:left w:type="dxa" w:w="120"/>
              <w:bottom w:type="dxa" w:w="100"/>
              <w:right w:type="dxa" w:w="120"/>
            </w:tcMar>
          </w:tcPr>
          <w:p>
            <w:pPr>
              <w:jc w:val="left"/>
            </w:pPr>
            <w:r>
              <w:rPr>
                <w:b/>
                <w:bCs/>
                <w:color w:val="FFFFFF"/>
                <w:sz w:val="20"/>
                <w:szCs w:val="20"/>
              </w:rPr>
              <w:t xml:space="preserve">Notes</w:t>
            </w:r>
          </w:p>
        </w:tc>
      </w:tr>
      <w:tr>
        <w:trPr>
          <w:tblHeader w:val="false"/>
        </w:trPr>
        <w:tc>
          <w:tcPr>
            <w:tcW w:type="dxa" w:w="2400"/>
            <w:shd w:fill="FFFFFF" w:val="clear"/>
            <w:tcMar>
              <w:top w:type="dxa" w:w="100"/>
              <w:left w:type="dxa" w:w="120"/>
              <w:bottom w:type="dxa" w:w="100"/>
              <w:right w:type="dxa" w:w="120"/>
            </w:tcMar>
          </w:tcPr>
          <w:p>
            <w:pPr>
              <w:jc w:val="left"/>
            </w:pPr>
            <w:r>
              <w:rPr>
                <w:b/>
                <w:bCs/>
                <w:color w:val="222222"/>
                <w:sz w:val="20"/>
                <w:szCs w:val="20"/>
              </w:rPr>
              <w:t xml:space="preserve">1st Year Price</w:t>
            </w:r>
          </w:p>
        </w:tc>
        <w:tc>
          <w:tcPr>
            <w:tcW w:type="dxa" w:w="2500"/>
            <w:shd w:fill="FFFFFF" w:val="clear"/>
            <w:tcMar>
              <w:top w:type="dxa" w:w="100"/>
              <w:left w:type="dxa" w:w="120"/>
              <w:bottom w:type="dxa" w:w="100"/>
              <w:right w:type="dxa" w:w="120"/>
            </w:tcMar>
          </w:tcPr>
          <w:p>
            <w:pPr>
              <w:jc w:val="left"/>
            </w:pPr>
            <w:r>
              <w:rPr>
                <w:b w:val="false"/>
                <w:bCs w:val="false"/>
                <w:color w:val="222222"/>
                <w:sz w:val="20"/>
                <w:szCs w:val="20"/>
              </w:rPr>
              <w:t xml:space="preserve">Rs. 3,700</w:t>
            </w:r>
          </w:p>
        </w:tc>
        <w:tc>
          <w:tcPr>
            <w:tcW w:type="dxa" w:w="2230"/>
            <w:shd w:fill="FFFFFF" w:val="clear"/>
            <w:tcMar>
              <w:top w:type="dxa" w:w="100"/>
              <w:left w:type="dxa" w:w="120"/>
              <w:bottom w:type="dxa" w:w="100"/>
              <w:right w:type="dxa" w:w="120"/>
            </w:tcMar>
          </w:tcPr>
          <w:p>
            <w:pPr>
              <w:jc w:val="left"/>
            </w:pPr>
            <w:r>
              <w:rPr>
                <w:b w:val="false"/>
                <w:bCs w:val="false"/>
                <w:color w:val="222222"/>
                <w:sz w:val="20"/>
                <w:szCs w:val="20"/>
              </w:rPr>
              <w:t xml:space="preserve">Rs. 5,000</w:t>
            </w:r>
          </w:p>
        </w:tc>
        <w:tc>
          <w:tcPr>
            <w:tcW w:type="dxa" w:w="2230"/>
            <w:shd w:fill="FFFFFF" w:val="clear"/>
            <w:tcMar>
              <w:top w:type="dxa" w:w="100"/>
              <w:left w:type="dxa" w:w="120"/>
              <w:bottom w:type="dxa" w:w="100"/>
              <w:right w:type="dxa" w:w="120"/>
            </w:tcMar>
          </w:tcPr>
          <w:p>
            <w:pPr>
              <w:jc w:val="left"/>
            </w:pPr>
            <w:r>
              <w:rPr>
                <w:b w:val="false"/>
                <w:bCs w:val="false"/>
                <w:color w:val="222222"/>
                <w:sz w:val="20"/>
                <w:szCs w:val="20"/>
              </w:rPr>
              <w:t xml:space="preserve">Register.lk cheaper to start</w:t>
            </w:r>
          </w:p>
        </w:tc>
      </w:tr>
      <w:tr>
        <w:trPr>
          <w:tblHeader w:val="false"/>
        </w:trPr>
        <w:tc>
          <w:tcPr>
            <w:tcW w:type="dxa" w:w="2400"/>
            <w:shd w:fill="EAF3ED" w:val="clear"/>
            <w:tcMar>
              <w:top w:type="dxa" w:w="100"/>
              <w:left w:type="dxa" w:w="120"/>
              <w:bottom w:type="dxa" w:w="100"/>
              <w:right w:type="dxa" w:w="120"/>
            </w:tcMar>
          </w:tcPr>
          <w:p>
            <w:pPr>
              <w:jc w:val="left"/>
            </w:pPr>
            <w:r>
              <w:rPr>
                <w:b/>
                <w:bCs/>
                <w:color w:val="222222"/>
                <w:sz w:val="20"/>
                <w:szCs w:val="20"/>
              </w:rPr>
              <w:t xml:space="preserve">Renewal Price (per year)</w:t>
            </w:r>
          </w:p>
        </w:tc>
        <w:tc>
          <w:tcPr>
            <w:tcW w:type="dxa" w:w="2500"/>
            <w:shd w:fill="EAF3ED" w:val="clear"/>
            <w:tcMar>
              <w:top w:type="dxa" w:w="100"/>
              <w:left w:type="dxa" w:w="120"/>
              <w:bottom w:type="dxa" w:w="100"/>
              <w:right w:type="dxa" w:w="120"/>
            </w:tcMar>
          </w:tcPr>
          <w:p>
            <w:pPr>
              <w:jc w:val="left"/>
            </w:pPr>
            <w:r>
              <w:rPr>
                <w:b w:val="false"/>
                <w:bCs w:val="false"/>
                <w:color w:val="222222"/>
                <w:sz w:val="20"/>
                <w:szCs w:val="20"/>
              </w:rPr>
              <w:t xml:space="preserve">Rs. 4,700</w:t>
            </w:r>
          </w:p>
        </w:tc>
        <w:tc>
          <w:tcPr>
            <w:tcW w:type="dxa" w:w="2230"/>
            <w:shd w:fill="EAF3ED" w:val="clear"/>
            <w:tcMar>
              <w:top w:type="dxa" w:w="100"/>
              <w:left w:type="dxa" w:w="120"/>
              <w:bottom w:type="dxa" w:w="100"/>
              <w:right w:type="dxa" w:w="120"/>
            </w:tcMar>
          </w:tcPr>
          <w:p>
            <w:pPr>
              <w:jc w:val="left"/>
            </w:pPr>
            <w:r>
              <w:rPr>
                <w:b w:val="false"/>
                <w:bCs w:val="false"/>
                <w:color w:val="222222"/>
                <w:sz w:val="20"/>
                <w:szCs w:val="20"/>
              </w:rPr>
              <w:t xml:space="preserve">Rs. 5,000</w:t>
            </w:r>
          </w:p>
        </w:tc>
        <w:tc>
          <w:tcPr>
            <w:tcW w:type="dxa" w:w="2230"/>
            <w:shd w:fill="EAF3ED" w:val="clear"/>
            <w:tcMar>
              <w:top w:type="dxa" w:w="100"/>
              <w:left w:type="dxa" w:w="120"/>
              <w:bottom w:type="dxa" w:w="100"/>
              <w:right w:type="dxa" w:w="120"/>
            </w:tcMar>
          </w:tcPr>
          <w:p>
            <w:pPr>
              <w:jc w:val="left"/>
            </w:pPr>
            <w:r>
              <w:rPr>
                <w:b w:val="false"/>
                <w:bCs w:val="false"/>
                <w:color w:val="222222"/>
                <w:sz w:val="20"/>
                <w:szCs w:val="20"/>
              </w:rPr>
              <w:t xml:space="preserve">Register.lk cheaper long-term</w:t>
            </w:r>
          </w:p>
        </w:tc>
      </w:tr>
      <w:tr>
        <w:trPr>
          <w:tblHeader w:val="false"/>
        </w:trPr>
        <w:tc>
          <w:tcPr>
            <w:tcW w:type="dxa" w:w="2400"/>
            <w:shd w:fill="FFFFFF" w:val="clear"/>
            <w:tcMar>
              <w:top w:type="dxa" w:w="100"/>
              <w:left w:type="dxa" w:w="120"/>
              <w:bottom w:type="dxa" w:w="100"/>
              <w:right w:type="dxa" w:w="120"/>
            </w:tcMar>
          </w:tcPr>
          <w:p>
            <w:pPr>
              <w:jc w:val="left"/>
            </w:pPr>
            <w:r>
              <w:rPr>
                <w:b/>
                <w:bCs/>
                <w:color w:val="222222"/>
                <w:sz w:val="20"/>
                <w:szCs w:val="20"/>
              </w:rPr>
              <w:t xml:space="preserve">Business Registration (BR) Required</w:t>
            </w:r>
          </w:p>
        </w:tc>
        <w:tc>
          <w:tcPr>
            <w:tcW w:type="dxa" w:w="2500"/>
            <w:shd w:fill="FFFFFF" w:val="clear"/>
            <w:tcMar>
              <w:top w:type="dxa" w:w="100"/>
              <w:left w:type="dxa" w:w="120"/>
              <w:bottom w:type="dxa" w:w="100"/>
              <w:right w:type="dxa" w:w="120"/>
            </w:tcMar>
          </w:tcPr>
          <w:p>
            <w:pPr>
              <w:jc w:val="left"/>
            </w:pPr>
            <w:r>
              <w:rPr>
                <w:b w:val="false"/>
                <w:bCs w:val="false"/>
                <w:color w:val="222222"/>
                <w:sz w:val="20"/>
                <w:szCs w:val="20"/>
              </w:rPr>
              <w:t xml:space="preserve">Yes - Registrant Info form + approval</w:t>
            </w:r>
          </w:p>
        </w:tc>
        <w:tc>
          <w:tcPr>
            <w:tcW w:type="dxa" w:w="2230"/>
            <w:shd w:fill="FFFFFF" w:val="clear"/>
            <w:tcMar>
              <w:top w:type="dxa" w:w="100"/>
              <w:left w:type="dxa" w:w="120"/>
              <w:bottom w:type="dxa" w:w="100"/>
              <w:right w:type="dxa" w:w="120"/>
            </w:tcMar>
          </w:tcPr>
          <w:p>
            <w:pPr>
              <w:jc w:val="left"/>
            </w:pPr>
            <w:r>
              <w:rPr>
                <w:b w:val="false"/>
                <w:bCs w:val="false"/>
                <w:color w:val="222222"/>
                <w:sz w:val="20"/>
                <w:szCs w:val="20"/>
              </w:rPr>
              <w:t xml:space="preserve">No - individual or business, both OK</w:t>
            </w:r>
          </w:p>
        </w:tc>
        <w:tc>
          <w:tcPr>
            <w:tcW w:type="dxa" w:w="2230"/>
            <w:shd w:fill="FFFFFF" w:val="clear"/>
            <w:tcMar>
              <w:top w:type="dxa" w:w="100"/>
              <w:left w:type="dxa" w:w="120"/>
              <w:bottom w:type="dxa" w:w="100"/>
              <w:right w:type="dxa" w:w="120"/>
            </w:tcMar>
          </w:tcPr>
          <w:p>
            <w:pPr>
              <w:jc w:val="left"/>
            </w:pPr>
            <w:r>
              <w:rPr>
                <w:b w:val="false"/>
                <w:bCs w:val="false"/>
                <w:color w:val="222222"/>
                <w:sz w:val="20"/>
                <w:szCs w:val="20"/>
              </w:rPr>
              <w:t xml:space="preserve">DomainSearch is simpler if BR isn't ready</w:t>
            </w:r>
          </w:p>
        </w:tc>
      </w:tr>
      <w:tr>
        <w:trPr>
          <w:tblHeader w:val="false"/>
        </w:trPr>
        <w:tc>
          <w:tcPr>
            <w:tcW w:type="dxa" w:w="2400"/>
            <w:shd w:fill="EAF3ED" w:val="clear"/>
            <w:tcMar>
              <w:top w:type="dxa" w:w="100"/>
              <w:left w:type="dxa" w:w="120"/>
              <w:bottom w:type="dxa" w:w="100"/>
              <w:right w:type="dxa" w:w="120"/>
            </w:tcMar>
          </w:tcPr>
          <w:p>
            <w:pPr>
              <w:jc w:val="left"/>
            </w:pPr>
            <w:r>
              <w:rPr>
                <w:b/>
                <w:bCs/>
                <w:color w:val="222222"/>
                <w:sz w:val="20"/>
                <w:szCs w:val="20"/>
              </w:rPr>
              <w:t xml:space="preserve">Activation Time</w:t>
            </w:r>
          </w:p>
        </w:tc>
        <w:tc>
          <w:tcPr>
            <w:tcW w:type="dxa" w:w="2500"/>
            <w:shd w:fill="EAF3ED" w:val="clear"/>
            <w:tcMar>
              <w:top w:type="dxa" w:w="100"/>
              <w:left w:type="dxa" w:w="120"/>
              <w:bottom w:type="dxa" w:w="100"/>
              <w:right w:type="dxa" w:w="120"/>
            </w:tcMar>
          </w:tcPr>
          <w:p>
            <w:pPr>
              <w:jc w:val="left"/>
            </w:pPr>
            <w:r>
              <w:rPr>
                <w:b w:val="false"/>
                <w:bCs w:val="false"/>
                <w:color w:val="222222"/>
                <w:sz w:val="20"/>
                <w:szCs w:val="20"/>
              </w:rPr>
              <w:t xml:space="preserve">Same day, after Hostmaster approval</w:t>
            </w:r>
          </w:p>
        </w:tc>
        <w:tc>
          <w:tcPr>
            <w:tcW w:type="dxa" w:w="2230"/>
            <w:shd w:fill="EAF3ED" w:val="clear"/>
            <w:tcMar>
              <w:top w:type="dxa" w:w="100"/>
              <w:left w:type="dxa" w:w="120"/>
              <w:bottom w:type="dxa" w:w="100"/>
              <w:right w:type="dxa" w:w="120"/>
            </w:tcMar>
          </w:tcPr>
          <w:p>
            <w:pPr>
              <w:jc w:val="left"/>
            </w:pPr>
            <w:r>
              <w:rPr>
                <w:b w:val="false"/>
                <w:bCs w:val="false"/>
                <w:color w:val="222222"/>
                <w:sz w:val="20"/>
                <w:szCs w:val="20"/>
              </w:rPr>
              <w:t xml:space="preserve">Within 15 minutes</w:t>
            </w:r>
          </w:p>
        </w:tc>
        <w:tc>
          <w:tcPr>
            <w:tcW w:type="dxa" w:w="2230"/>
            <w:shd w:fill="EAF3ED" w:val="clear"/>
            <w:tcMar>
              <w:top w:type="dxa" w:w="100"/>
              <w:left w:type="dxa" w:w="120"/>
              <w:bottom w:type="dxa" w:w="100"/>
              <w:right w:type="dxa" w:w="120"/>
            </w:tcMar>
          </w:tcPr>
          <w:p>
            <w:pPr>
              <w:jc w:val="left"/>
            </w:pPr>
            <w:r>
              <w:rPr>
                <w:b w:val="false"/>
                <w:bCs w:val="false"/>
                <w:color w:val="222222"/>
                <w:sz w:val="20"/>
                <w:szCs w:val="20"/>
              </w:rPr>
              <w:t xml:space="preserve">DomainSearch is faster</w:t>
            </w:r>
          </w:p>
        </w:tc>
      </w:tr>
      <w:tr>
        <w:trPr>
          <w:tblHeader w:val="false"/>
        </w:trPr>
        <w:tc>
          <w:tcPr>
            <w:tcW w:type="dxa" w:w="2400"/>
            <w:shd w:fill="FFFFFF" w:val="clear"/>
            <w:tcMar>
              <w:top w:type="dxa" w:w="100"/>
              <w:left w:type="dxa" w:w="120"/>
              <w:bottom w:type="dxa" w:w="100"/>
              <w:right w:type="dxa" w:w="120"/>
            </w:tcMar>
          </w:tcPr>
          <w:p>
            <w:pPr>
              <w:jc w:val="left"/>
            </w:pPr>
            <w:r>
              <w:rPr>
                <w:b/>
                <w:bCs/>
                <w:color w:val="222222"/>
                <w:sz w:val="20"/>
                <w:szCs w:val="20"/>
              </w:rPr>
              <w:t xml:space="preserve">Reputation / Track Record</w:t>
            </w:r>
          </w:p>
        </w:tc>
        <w:tc>
          <w:tcPr>
            <w:tcW w:type="dxa" w:w="2500"/>
            <w:shd w:fill="FFFFFF" w:val="clear"/>
            <w:tcMar>
              <w:top w:type="dxa" w:w="100"/>
              <w:left w:type="dxa" w:w="120"/>
              <w:bottom w:type="dxa" w:w="100"/>
              <w:right w:type="dxa" w:w="120"/>
            </w:tcMar>
          </w:tcPr>
          <w:p>
            <w:pPr>
              <w:jc w:val="left"/>
            </w:pPr>
            <w:r>
              <w:rPr>
                <w:b w:val="false"/>
                <w:bCs w:val="false"/>
                <w:color w:val="222222"/>
                <w:sz w:val="20"/>
                <w:szCs w:val="20"/>
              </w:rPr>
              <w:t xml:space="preserve">Sri Lanka's No.1 .LK provider, 22,700+ reviews, 96% satisfaction</w:t>
            </w:r>
          </w:p>
        </w:tc>
        <w:tc>
          <w:tcPr>
            <w:tcW w:type="dxa" w:w="2230"/>
            <w:shd w:fill="FFFFFF" w:val="clear"/>
            <w:tcMar>
              <w:top w:type="dxa" w:w="100"/>
              <w:left w:type="dxa" w:w="120"/>
              <w:bottom w:type="dxa" w:w="100"/>
              <w:right w:type="dxa" w:w="120"/>
            </w:tcMar>
          </w:tcPr>
          <w:p>
            <w:pPr>
              <w:jc w:val="left"/>
            </w:pPr>
            <w:r>
              <w:rPr>
                <w:b w:val="false"/>
                <w:bCs w:val="false"/>
                <w:color w:val="222222"/>
                <w:sz w:val="20"/>
                <w:szCs w:val="20"/>
              </w:rPr>
              <w:t xml:space="preserve">Authorized reseller, 14+ years, smaller brand</w:t>
            </w:r>
          </w:p>
        </w:tc>
        <w:tc>
          <w:tcPr>
            <w:tcW w:type="dxa" w:w="2230"/>
            <w:shd w:fill="FFFFFF" w:val="clear"/>
            <w:tcMar>
              <w:top w:type="dxa" w:w="100"/>
              <w:left w:type="dxa" w:w="120"/>
              <w:bottom w:type="dxa" w:w="100"/>
              <w:right w:type="dxa" w:w="120"/>
            </w:tcMar>
          </w:tcPr>
          <w:p>
            <w:pPr>
              <w:jc w:val="left"/>
            </w:pPr>
            <w:r>
              <w:rPr>
                <w:b w:val="false"/>
                <w:bCs w:val="false"/>
                <w:color w:val="222222"/>
                <w:sz w:val="20"/>
                <w:szCs w:val="20"/>
              </w:rPr>
              <w:t xml:space="preserve">Register.lk has stronger market trust</w:t>
            </w:r>
          </w:p>
        </w:tc>
      </w:tr>
      <w:tr>
        <w:trPr>
          <w:tblHeader w:val="false"/>
        </w:trPr>
        <w:tc>
          <w:tcPr>
            <w:tcW w:type="dxa" w:w="2400"/>
            <w:shd w:fill="EAF3ED" w:val="clear"/>
            <w:tcMar>
              <w:top w:type="dxa" w:w="100"/>
              <w:left w:type="dxa" w:w="120"/>
              <w:bottom w:type="dxa" w:w="100"/>
              <w:right w:type="dxa" w:w="120"/>
            </w:tcMar>
          </w:tcPr>
          <w:p>
            <w:pPr>
              <w:jc w:val="left"/>
            </w:pPr>
            <w:r>
              <w:rPr>
                <w:b/>
                <w:bCs/>
                <w:color w:val="222222"/>
                <w:sz w:val="20"/>
                <w:szCs w:val="20"/>
              </w:rPr>
              <w:t xml:space="preserve">Support</w:t>
            </w:r>
          </w:p>
        </w:tc>
        <w:tc>
          <w:tcPr>
            <w:tcW w:type="dxa" w:w="2500"/>
            <w:shd w:fill="EAF3ED" w:val="clear"/>
            <w:tcMar>
              <w:top w:type="dxa" w:w="100"/>
              <w:left w:type="dxa" w:w="120"/>
              <w:bottom w:type="dxa" w:w="100"/>
              <w:right w:type="dxa" w:w="120"/>
            </w:tcMar>
          </w:tcPr>
          <w:p>
            <w:pPr>
              <w:jc w:val="left"/>
            </w:pPr>
            <w:r>
              <w:rPr>
                <w:b w:val="false"/>
                <w:bCs w:val="false"/>
                <w:color w:val="222222"/>
                <w:sz w:val="20"/>
                <w:szCs w:val="20"/>
              </w:rPr>
              <w:t xml:space="preserve">Colombo office - phone, chat, in-person</w:t>
            </w:r>
          </w:p>
        </w:tc>
        <w:tc>
          <w:tcPr>
            <w:tcW w:type="dxa" w:w="2230"/>
            <w:shd w:fill="EAF3ED" w:val="clear"/>
            <w:tcMar>
              <w:top w:type="dxa" w:w="100"/>
              <w:left w:type="dxa" w:w="120"/>
              <w:bottom w:type="dxa" w:w="100"/>
              <w:right w:type="dxa" w:w="120"/>
            </w:tcMar>
          </w:tcPr>
          <w:p>
            <w:pPr>
              <w:jc w:val="left"/>
            </w:pPr>
            <w:r>
              <w:rPr>
                <w:b w:val="false"/>
                <w:bCs w:val="false"/>
                <w:color w:val="222222"/>
                <w:sz w:val="20"/>
                <w:szCs w:val="20"/>
              </w:rPr>
              <w:t xml:space="preserve">Live chat / email / WhatsApp</w:t>
            </w:r>
          </w:p>
        </w:tc>
        <w:tc>
          <w:tcPr>
            <w:tcW w:type="dxa" w:w="2230"/>
            <w:shd w:fill="EAF3ED" w:val="clear"/>
            <w:tcMar>
              <w:top w:type="dxa" w:w="100"/>
              <w:left w:type="dxa" w:w="120"/>
              <w:bottom w:type="dxa" w:w="100"/>
              <w:right w:type="dxa" w:w="120"/>
            </w:tcMar>
          </w:tcPr>
          <w:p>
            <w:pPr>
              <w:jc w:val="left"/>
            </w:pPr>
            <w:r>
              <w:rPr>
                <w:b w:val="false"/>
                <w:bCs w:val="false"/>
                <w:color w:val="222222"/>
                <w:sz w:val="20"/>
                <w:szCs w:val="20"/>
              </w:rPr>
              <w:t xml:space="preserve">Both offer responsive support</w:t>
            </w:r>
          </w:p>
        </w:tc>
      </w:tr>
      <w:tr>
        <w:trPr>
          <w:tblHeader w:val="false"/>
        </w:trPr>
        <w:tc>
          <w:tcPr>
            <w:tcW w:type="dxa" w:w="2400"/>
            <w:shd w:fill="FFFFFF" w:val="clear"/>
            <w:tcMar>
              <w:top w:type="dxa" w:w="100"/>
              <w:left w:type="dxa" w:w="120"/>
              <w:bottom w:type="dxa" w:w="100"/>
              <w:right w:type="dxa" w:w="120"/>
            </w:tcMar>
          </w:tcPr>
          <w:p>
            <w:pPr>
              <w:jc w:val="left"/>
            </w:pPr>
            <w:r>
              <w:rPr>
                <w:b/>
                <w:bCs/>
                <w:color w:val="222222"/>
                <w:sz w:val="20"/>
                <w:szCs w:val="20"/>
              </w:rPr>
              <w:t xml:space="preserve">Extras Included</w:t>
            </w:r>
          </w:p>
        </w:tc>
        <w:tc>
          <w:tcPr>
            <w:tcW w:type="dxa" w:w="2500"/>
            <w:shd w:fill="FFFFFF" w:val="clear"/>
            <w:tcMar>
              <w:top w:type="dxa" w:w="100"/>
              <w:left w:type="dxa" w:w="120"/>
              <w:bottom w:type="dxa" w:w="100"/>
              <w:right w:type="dxa" w:w="120"/>
            </w:tcMar>
          </w:tcPr>
          <w:p>
            <w:pPr>
              <w:jc w:val="left"/>
            </w:pPr>
            <w:r>
              <w:rPr>
                <w:b w:val="false"/>
                <w:bCs w:val="false"/>
                <w:color w:val="222222"/>
                <w:sz w:val="20"/>
                <w:szCs w:val="20"/>
              </w:rPr>
              <w:t xml:space="preserve">Free WHOIS protection, free domain/email forwarding</w:t>
            </w:r>
          </w:p>
        </w:tc>
        <w:tc>
          <w:tcPr>
            <w:tcW w:type="dxa" w:w="2230"/>
            <w:shd w:fill="FFFFFF" w:val="clear"/>
            <w:tcMar>
              <w:top w:type="dxa" w:w="100"/>
              <w:left w:type="dxa" w:w="120"/>
              <w:bottom w:type="dxa" w:w="100"/>
              <w:right w:type="dxa" w:w="120"/>
            </w:tcMar>
          </w:tcPr>
          <w:p>
            <w:pPr>
              <w:jc w:val="left"/>
            </w:pPr>
            <w:r>
              <w:rPr>
                <w:b w:val="false"/>
                <w:bCs w:val="false"/>
                <w:color w:val="222222"/>
                <w:sz w:val="20"/>
                <w:szCs w:val="20"/>
              </w:rPr>
              <w:t xml:space="preserve">Full DNS management panel, no setup fees</w:t>
            </w:r>
          </w:p>
        </w:tc>
        <w:tc>
          <w:tcPr>
            <w:tcW w:type="dxa" w:w="2230"/>
            <w:shd w:fill="FFFFFF" w:val="clear"/>
            <w:tcMar>
              <w:top w:type="dxa" w:w="100"/>
              <w:left w:type="dxa" w:w="120"/>
              <w:bottom w:type="dxa" w:w="100"/>
              <w:right w:type="dxa" w:w="120"/>
            </w:tcMar>
          </w:tcPr>
          <w:p>
            <w:pPr>
              <w:jc w:val="left"/>
            </w:pPr>
            <w:r>
              <w:rPr>
                <w:b w:val="false"/>
                <w:bCs w:val="false"/>
                <w:color w:val="222222"/>
                <w:sz w:val="20"/>
                <w:szCs w:val="20"/>
              </w:rPr>
              <w:t xml:space="preserve">Comparable technical features</w:t>
            </w:r>
          </w:p>
        </w:tc>
      </w:tr>
    </w:tbl>
    <w:p>
      <w:pPr>
        <w:pStyle w:val="Heading1"/>
        <w:pBdr>
          <w:bottom w:val="single" w:color="2F6B4F" w:sz="6" w:space="4"/>
        </w:pBdr>
        <w:spacing w:after="160" w:before="360"/>
      </w:pPr>
      <w:r>
        <w:rPr>
          <w:b/>
          <w:bCs/>
          <w:color w:val="2F6B4F"/>
          <w:sz w:val="30"/>
          <w:szCs w:val="30"/>
        </w:rPr>
        <w:t xml:space="preserve">4. Full Pricing Plans by Domain Category</w:t>
      </w:r>
    </w:p>
    <w:p>
      <w:pPr>
        <w:spacing w:after="160" w:line="300"/>
      </w:pPr>
      <w:r>
        <w:rPr>
          <w:color w:val="222222"/>
          <w:sz w:val="22"/>
          <w:szCs w:val="22"/>
        </w:rPr>
        <w:t xml:space="preserve">Note: .LK domain registration is billed annually only - the LK Domain Registry does not offer monthly billing for domain names. Below is the complete category-wise pricing for both providers, in case a different type of .lk domain (e.g. .com.lk) is considered in future.</w:t>
      </w:r>
    </w:p>
    <w:p>
      <w:pPr>
        <w:pStyle w:val="Heading2"/>
        <w:spacing w:after="120" w:before="260"/>
      </w:pPr>
      <w:r>
        <w:rPr>
          <w:b/>
          <w:bCs/>
          <w:color w:val="2F6B4F"/>
          <w:sz w:val="24"/>
          <w:szCs w:val="24"/>
        </w:rPr>
        <w:t xml:space="preserve">Register.lk - Category Pricing (per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020"/>
        <w:gridCol w:w="2220"/>
      </w:tblGrid>
      <w:tr>
        <w:trPr>
          <w:tblHeader/>
        </w:trPr>
        <w:tc>
          <w:tcPr>
            <w:tcW w:type="dxa" w:w="3120"/>
            <w:shd w:fill="2F6B4F" w:val="clear"/>
            <w:tcMar>
              <w:top w:type="dxa" w:w="100"/>
              <w:left w:type="dxa" w:w="120"/>
              <w:bottom w:type="dxa" w:w="100"/>
              <w:right w:type="dxa" w:w="120"/>
            </w:tcMar>
          </w:tcPr>
          <w:p>
            <w:pPr>
              <w:jc w:val="left"/>
            </w:pPr>
            <w:r>
              <w:rPr>
                <w:b/>
                <w:bCs/>
                <w:color w:val="FFFFFF"/>
                <w:sz w:val="20"/>
                <w:szCs w:val="20"/>
              </w:rPr>
              <w:t xml:space="preserve">Category</w:t>
            </w:r>
          </w:p>
        </w:tc>
        <w:tc>
          <w:tcPr>
            <w:tcW w:type="dxa" w:w="4020"/>
            <w:shd w:fill="2F6B4F" w:val="clear"/>
            <w:tcMar>
              <w:top w:type="dxa" w:w="100"/>
              <w:left w:type="dxa" w:w="120"/>
              <w:bottom w:type="dxa" w:w="100"/>
              <w:right w:type="dxa" w:w="120"/>
            </w:tcMar>
          </w:tcPr>
          <w:p>
            <w:pPr>
              <w:jc w:val="left"/>
            </w:pPr>
            <w:r>
              <w:rPr>
                <w:b/>
                <w:bCs/>
                <w:color w:val="FFFFFF"/>
                <w:sz w:val="20"/>
                <w:szCs w:val="20"/>
              </w:rPr>
              <w:t xml:space="preserve">Applies To</w:t>
            </w:r>
          </w:p>
        </w:tc>
        <w:tc>
          <w:tcPr>
            <w:tcW w:type="dxa" w:w="2220"/>
            <w:shd w:fill="2F6B4F" w:val="clear"/>
            <w:tcMar>
              <w:top w:type="dxa" w:w="100"/>
              <w:left w:type="dxa" w:w="120"/>
              <w:bottom w:type="dxa" w:w="100"/>
              <w:right w:type="dxa" w:w="120"/>
            </w:tcMar>
          </w:tcPr>
          <w:p>
            <w:pPr>
              <w:jc w:val="left"/>
            </w:pPr>
            <w:r>
              <w:rPr>
                <w:b/>
                <w:bCs/>
                <w:color w:val="FFFFFF"/>
                <w:sz w:val="20"/>
                <w:szCs w:val="20"/>
              </w:rPr>
              <w:t xml:space="preserve">1st Year / Renewal Price</w:t>
            </w:r>
          </w:p>
        </w:tc>
      </w:tr>
      <w:tr>
        <w:trPr>
          <w:tblHeader w:val="false"/>
        </w:trPr>
        <w:tc>
          <w:tcPr>
            <w:tcW w:type="dxa" w:w="3120"/>
            <w:shd w:fill="FFFFFF" w:val="clear"/>
            <w:tcMar>
              <w:top w:type="dxa" w:w="100"/>
              <w:left w:type="dxa" w:w="120"/>
              <w:bottom w:type="dxa" w:w="100"/>
              <w:right w:type="dxa" w:w="120"/>
            </w:tcMar>
          </w:tcPr>
          <w:p>
            <w:pPr>
              <w:jc w:val="left"/>
            </w:pPr>
            <w:r>
              <w:rPr>
                <w:b/>
                <w:bCs/>
                <w:color w:val="222222"/>
                <w:sz w:val="20"/>
                <w:szCs w:val="20"/>
              </w:rPr>
              <w:t xml:space="preserve">Standard (CAT1)</w:t>
            </w:r>
          </w:p>
        </w:tc>
        <w:tc>
          <w:tcPr>
            <w:tcW w:type="dxa" w:w="4020"/>
            <w:shd w:fill="FFFFFF" w:val="clear"/>
            <w:tcMar>
              <w:top w:type="dxa" w:w="100"/>
              <w:left w:type="dxa" w:w="120"/>
              <w:bottom w:type="dxa" w:w="100"/>
              <w:right w:type="dxa" w:w="120"/>
            </w:tcMar>
          </w:tcPr>
          <w:p>
            <w:pPr>
              <w:jc w:val="left"/>
            </w:pPr>
            <w:r>
              <w:rPr>
                <w:b w:val="false"/>
                <w:bCs w:val="false"/>
                <w:color w:val="222222"/>
                <w:sz w:val="20"/>
                <w:szCs w:val="20"/>
              </w:rPr>
              <w:t xml:space="preserve">Top Level + available Second Level (example.lk, .com.lk, .org.lk, .edu.lk, .web.lk, .hotel.lk)</w:t>
            </w:r>
          </w:p>
        </w:tc>
        <w:tc>
          <w:tcPr>
            <w:tcW w:type="dxa" w:w="2220"/>
            <w:shd w:fill="FFFFFF" w:val="clear"/>
            <w:tcMar>
              <w:top w:type="dxa" w:w="100"/>
              <w:left w:type="dxa" w:w="120"/>
              <w:bottom w:type="dxa" w:w="100"/>
              <w:right w:type="dxa" w:w="120"/>
            </w:tcMar>
          </w:tcPr>
          <w:p>
            <w:pPr>
              <w:jc w:val="left"/>
            </w:pPr>
            <w:r>
              <w:rPr>
                <w:b w:val="false"/>
                <w:bCs w:val="false"/>
                <w:color w:val="222222"/>
                <w:sz w:val="20"/>
                <w:szCs w:val="20"/>
              </w:rPr>
              <w:t xml:space="preserve">Rs. 6,500 / Rs. 6,500</w:t>
            </w:r>
          </w:p>
        </w:tc>
      </w:tr>
      <w:tr>
        <w:trPr>
          <w:tblHeader w:val="false"/>
        </w:trPr>
        <w:tc>
          <w:tcPr>
            <w:tcW w:type="dxa" w:w="3120"/>
            <w:shd w:fill="EAF3ED" w:val="clear"/>
            <w:tcMar>
              <w:top w:type="dxa" w:w="100"/>
              <w:left w:type="dxa" w:w="120"/>
              <w:bottom w:type="dxa" w:w="100"/>
              <w:right w:type="dxa" w:w="120"/>
            </w:tcMar>
          </w:tcPr>
          <w:p>
            <w:pPr>
              <w:jc w:val="left"/>
            </w:pPr>
            <w:r>
              <w:rPr>
                <w:b/>
                <w:bCs/>
                <w:color w:val="222222"/>
                <w:sz w:val="20"/>
                <w:szCs w:val="20"/>
              </w:rPr>
              <w:t xml:space="preserve">Economy (CAT2) - Most Popular</w:t>
            </w:r>
          </w:p>
        </w:tc>
        <w:tc>
          <w:tcPr>
            <w:tcW w:type="dxa" w:w="4020"/>
            <w:shd w:fill="EAF3ED" w:val="clear"/>
            <w:tcMar>
              <w:top w:type="dxa" w:w="100"/>
              <w:left w:type="dxa" w:w="120"/>
              <w:bottom w:type="dxa" w:w="100"/>
              <w:right w:type="dxa" w:w="120"/>
            </w:tcMar>
          </w:tcPr>
          <w:p>
            <w:pPr>
              <w:jc w:val="left"/>
            </w:pPr>
            <w:r>
              <w:rPr>
                <w:b w:val="false"/>
                <w:bCs w:val="false"/>
                <w:color w:val="222222"/>
                <w:sz w:val="20"/>
                <w:szCs w:val="20"/>
              </w:rPr>
              <w:t xml:space="preserve">Top Level Domain Only (example.lk)</w:t>
            </w:r>
          </w:p>
        </w:tc>
        <w:tc>
          <w:tcPr>
            <w:tcW w:type="dxa" w:w="2220"/>
            <w:shd w:fill="EAF3ED" w:val="clear"/>
            <w:tcMar>
              <w:top w:type="dxa" w:w="100"/>
              <w:left w:type="dxa" w:w="120"/>
              <w:bottom w:type="dxa" w:w="100"/>
              <w:right w:type="dxa" w:w="120"/>
            </w:tcMar>
          </w:tcPr>
          <w:p>
            <w:pPr>
              <w:jc w:val="left"/>
            </w:pPr>
            <w:r>
              <w:rPr>
                <w:b w:val="false"/>
                <w:bCs w:val="false"/>
                <w:color w:val="222222"/>
                <w:sz w:val="20"/>
                <w:szCs w:val="20"/>
              </w:rPr>
              <w:t xml:space="preserve">Rs. 3,700 / Rs. 4,700</w:t>
            </w:r>
          </w:p>
        </w:tc>
      </w:tr>
      <w:tr>
        <w:trPr>
          <w:tblHeader w:val="false"/>
        </w:trPr>
        <w:tc>
          <w:tcPr>
            <w:tcW w:type="dxa" w:w="3120"/>
            <w:shd w:fill="FFFFFF" w:val="clear"/>
            <w:tcMar>
              <w:top w:type="dxa" w:w="100"/>
              <w:left w:type="dxa" w:w="120"/>
              <w:bottom w:type="dxa" w:w="100"/>
              <w:right w:type="dxa" w:w="120"/>
            </w:tcMar>
          </w:tcPr>
          <w:p>
            <w:pPr>
              <w:jc w:val="left"/>
            </w:pPr>
            <w:r>
              <w:rPr>
                <w:b/>
                <w:bCs/>
                <w:color w:val="222222"/>
                <w:sz w:val="20"/>
                <w:szCs w:val="20"/>
              </w:rPr>
              <w:t xml:space="preserve">Budget (CAT3)</w:t>
            </w:r>
          </w:p>
        </w:tc>
        <w:tc>
          <w:tcPr>
            <w:tcW w:type="dxa" w:w="4020"/>
            <w:shd w:fill="FFFFFF" w:val="clear"/>
            <w:tcMar>
              <w:top w:type="dxa" w:w="100"/>
              <w:left w:type="dxa" w:w="120"/>
              <w:bottom w:type="dxa" w:w="100"/>
              <w:right w:type="dxa" w:w="120"/>
            </w:tcMar>
          </w:tcPr>
          <w:p>
            <w:pPr>
              <w:jc w:val="left"/>
            </w:pPr>
            <w:r>
              <w:rPr>
                <w:b w:val="false"/>
                <w:bCs w:val="false"/>
                <w:color w:val="222222"/>
                <w:sz w:val="20"/>
                <w:szCs w:val="20"/>
              </w:rPr>
              <w:t xml:space="preserve">Second Level Only (example.com.lk / .org.lk / .edu.lk)</w:t>
            </w:r>
          </w:p>
        </w:tc>
        <w:tc>
          <w:tcPr>
            <w:tcW w:type="dxa" w:w="2220"/>
            <w:shd w:fill="FFFFFF" w:val="clear"/>
            <w:tcMar>
              <w:top w:type="dxa" w:w="100"/>
              <w:left w:type="dxa" w:w="120"/>
              <w:bottom w:type="dxa" w:w="100"/>
              <w:right w:type="dxa" w:w="120"/>
            </w:tcMar>
          </w:tcPr>
          <w:p>
            <w:pPr>
              <w:jc w:val="left"/>
            </w:pPr>
            <w:r>
              <w:rPr>
                <w:b w:val="false"/>
                <w:bCs w:val="false"/>
                <w:color w:val="222222"/>
                <w:sz w:val="20"/>
                <w:szCs w:val="20"/>
              </w:rPr>
              <w:t xml:space="preserve">Rs. 1,000 / Rs. 1,000</w:t>
            </w:r>
          </w:p>
        </w:tc>
      </w:tr>
      <w:tr>
        <w:trPr>
          <w:tblHeader w:val="false"/>
        </w:trPr>
        <w:tc>
          <w:tcPr>
            <w:tcW w:type="dxa" w:w="3120"/>
            <w:shd w:fill="EAF3ED" w:val="clear"/>
            <w:tcMar>
              <w:top w:type="dxa" w:w="100"/>
              <w:left w:type="dxa" w:w="120"/>
              <w:bottom w:type="dxa" w:w="100"/>
              <w:right w:type="dxa" w:w="120"/>
            </w:tcMar>
          </w:tcPr>
          <w:p>
            <w:pPr>
              <w:jc w:val="left"/>
            </w:pPr>
            <w:r>
              <w:rPr>
                <w:b/>
                <w:bCs/>
                <w:color w:val="222222"/>
                <w:sz w:val="20"/>
                <w:szCs w:val="20"/>
              </w:rPr>
              <w:t xml:space="preserve">Premium (CAT4)</w:t>
            </w:r>
          </w:p>
        </w:tc>
        <w:tc>
          <w:tcPr>
            <w:tcW w:type="dxa" w:w="4020"/>
            <w:shd w:fill="EAF3ED" w:val="clear"/>
            <w:tcMar>
              <w:top w:type="dxa" w:w="100"/>
              <w:left w:type="dxa" w:w="120"/>
              <w:bottom w:type="dxa" w:w="100"/>
              <w:right w:type="dxa" w:w="120"/>
            </w:tcMar>
          </w:tcPr>
          <w:p>
            <w:pPr>
              <w:jc w:val="left"/>
            </w:pPr>
            <w:r>
              <w:rPr>
                <w:b w:val="false"/>
                <w:bCs w:val="false"/>
                <w:color w:val="222222"/>
                <w:sz w:val="20"/>
                <w:szCs w:val="20"/>
              </w:rPr>
              <w:t xml:space="preserve">Two-letter or numeric (2-7 digit) or other premium names</w:t>
            </w:r>
          </w:p>
        </w:tc>
        <w:tc>
          <w:tcPr>
            <w:tcW w:type="dxa" w:w="2220"/>
            <w:shd w:fill="EAF3ED" w:val="clear"/>
            <w:tcMar>
              <w:top w:type="dxa" w:w="100"/>
              <w:left w:type="dxa" w:w="120"/>
              <w:bottom w:type="dxa" w:w="100"/>
              <w:right w:type="dxa" w:w="120"/>
            </w:tcMar>
          </w:tcPr>
          <w:p>
            <w:pPr>
              <w:jc w:val="left"/>
            </w:pPr>
            <w:r>
              <w:rPr>
                <w:b w:val="false"/>
                <w:bCs w:val="false"/>
                <w:color w:val="222222"/>
                <w:sz w:val="20"/>
                <w:szCs w:val="20"/>
              </w:rPr>
              <w:t xml:space="preserve">Rs. 32,500 / Rs. 32,500</w:t>
            </w:r>
          </w:p>
        </w:tc>
      </w:tr>
      <w:tr>
        <w:trPr>
          <w:tblHeader w:val="false"/>
        </w:trPr>
        <w:tc>
          <w:tcPr>
            <w:tcW w:type="dxa" w:w="3120"/>
            <w:shd w:fill="FFFFFF" w:val="clear"/>
            <w:tcMar>
              <w:top w:type="dxa" w:w="100"/>
              <w:left w:type="dxa" w:w="120"/>
              <w:bottom w:type="dxa" w:w="100"/>
              <w:right w:type="dxa" w:w="120"/>
            </w:tcMar>
          </w:tcPr>
          <w:p>
            <w:pPr>
              <w:jc w:val="left"/>
            </w:pPr>
            <w:r>
              <w:rPr>
                <w:b/>
                <w:bCs/>
                <w:color w:val="222222"/>
                <w:sz w:val="20"/>
                <w:szCs w:val="20"/>
              </w:rPr>
              <w:t xml:space="preserve">Desirable (CAT5)</w:t>
            </w:r>
          </w:p>
        </w:tc>
        <w:tc>
          <w:tcPr>
            <w:tcW w:type="dxa" w:w="4020"/>
            <w:shd w:fill="FFFFFF" w:val="clear"/>
            <w:tcMar>
              <w:top w:type="dxa" w:w="100"/>
              <w:left w:type="dxa" w:w="120"/>
              <w:bottom w:type="dxa" w:w="100"/>
              <w:right w:type="dxa" w:w="120"/>
            </w:tcMar>
          </w:tcPr>
          <w:p>
            <w:pPr>
              <w:jc w:val="left"/>
            </w:pPr>
            <w:r>
              <w:rPr>
                <w:b w:val="false"/>
                <w:bCs w:val="false"/>
                <w:color w:val="222222"/>
                <w:sz w:val="20"/>
                <w:szCs w:val="20"/>
              </w:rPr>
              <w:t xml:space="preserve">Three-letter or numeric (8-10 digit) or other desirable names</w:t>
            </w:r>
          </w:p>
        </w:tc>
        <w:tc>
          <w:tcPr>
            <w:tcW w:type="dxa" w:w="2220"/>
            <w:shd w:fill="FFFFFF" w:val="clear"/>
            <w:tcMar>
              <w:top w:type="dxa" w:w="100"/>
              <w:left w:type="dxa" w:w="120"/>
              <w:bottom w:type="dxa" w:w="100"/>
              <w:right w:type="dxa" w:w="120"/>
            </w:tcMar>
          </w:tcPr>
          <w:p>
            <w:pPr>
              <w:jc w:val="left"/>
            </w:pPr>
            <w:r>
              <w:rPr>
                <w:b w:val="false"/>
                <w:bCs w:val="false"/>
                <w:color w:val="222222"/>
                <w:sz w:val="20"/>
                <w:szCs w:val="20"/>
              </w:rPr>
              <w:t xml:space="preserve">Rs. 13,000 / Rs. 13,000</w:t>
            </w:r>
          </w:p>
        </w:tc>
      </w:tr>
    </w:tbl>
    <w:p>
      <w:pPr>
        <w:pStyle w:val="Heading2"/>
        <w:spacing w:after="120" w:before="260"/>
      </w:pPr>
      <w:r>
        <w:rPr>
          <w:b/>
          <w:bCs/>
          <w:color w:val="2F6B4F"/>
          <w:sz w:val="24"/>
          <w:szCs w:val="24"/>
        </w:rPr>
        <w:t xml:space="preserve">DomainSearch.LK - Category Pricing (per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020"/>
        <w:gridCol w:w="2220"/>
      </w:tblGrid>
      <w:tr>
        <w:trPr>
          <w:tblHeader/>
        </w:trPr>
        <w:tc>
          <w:tcPr>
            <w:tcW w:type="dxa" w:w="3120"/>
            <w:shd w:fill="2F6B4F" w:val="clear"/>
            <w:tcMar>
              <w:top w:type="dxa" w:w="100"/>
              <w:left w:type="dxa" w:w="120"/>
              <w:bottom w:type="dxa" w:w="100"/>
              <w:right w:type="dxa" w:w="120"/>
            </w:tcMar>
          </w:tcPr>
          <w:p>
            <w:pPr>
              <w:jc w:val="left"/>
            </w:pPr>
            <w:r>
              <w:rPr>
                <w:b/>
                <w:bCs/>
                <w:color w:val="FFFFFF"/>
                <w:sz w:val="20"/>
                <w:szCs w:val="20"/>
              </w:rPr>
              <w:t xml:space="preserve">Plan</w:t>
            </w:r>
          </w:p>
        </w:tc>
        <w:tc>
          <w:tcPr>
            <w:tcW w:type="dxa" w:w="4020"/>
            <w:shd w:fill="2F6B4F" w:val="clear"/>
            <w:tcMar>
              <w:top w:type="dxa" w:w="100"/>
              <w:left w:type="dxa" w:w="120"/>
              <w:bottom w:type="dxa" w:w="100"/>
              <w:right w:type="dxa" w:w="120"/>
            </w:tcMar>
          </w:tcPr>
          <w:p>
            <w:pPr>
              <w:jc w:val="left"/>
            </w:pPr>
            <w:r>
              <w:rPr>
                <w:b/>
                <w:bCs/>
                <w:color w:val="FFFFFF"/>
                <w:sz w:val="20"/>
                <w:szCs w:val="20"/>
              </w:rPr>
              <w:t xml:space="preserve">Applies To</w:t>
            </w:r>
          </w:p>
        </w:tc>
        <w:tc>
          <w:tcPr>
            <w:tcW w:type="dxa" w:w="2220"/>
            <w:shd w:fill="2F6B4F" w:val="clear"/>
            <w:tcMar>
              <w:top w:type="dxa" w:w="100"/>
              <w:left w:type="dxa" w:w="120"/>
              <w:bottom w:type="dxa" w:w="100"/>
              <w:right w:type="dxa" w:w="120"/>
            </w:tcMar>
          </w:tcPr>
          <w:p>
            <w:pPr>
              <w:jc w:val="left"/>
            </w:pPr>
            <w:r>
              <w:rPr>
                <w:b/>
                <w:bCs/>
                <w:color w:val="FFFFFF"/>
                <w:sz w:val="20"/>
                <w:szCs w:val="20"/>
              </w:rPr>
              <w:t xml:space="preserve">Price (per year)</w:t>
            </w:r>
          </w:p>
        </w:tc>
      </w:tr>
      <w:tr>
        <w:trPr>
          <w:tblHeader w:val="false"/>
        </w:trPr>
        <w:tc>
          <w:tcPr>
            <w:tcW w:type="dxa" w:w="3120"/>
            <w:shd w:fill="FFFFFF" w:val="clear"/>
            <w:tcMar>
              <w:top w:type="dxa" w:w="100"/>
              <w:left w:type="dxa" w:w="120"/>
              <w:bottom w:type="dxa" w:w="100"/>
              <w:right w:type="dxa" w:w="120"/>
            </w:tcMar>
          </w:tcPr>
          <w:p>
            <w:pPr>
              <w:jc w:val="left"/>
            </w:pPr>
            <w:r>
              <w:rPr>
                <w:b/>
                <w:bCs/>
                <w:color w:val="222222"/>
                <w:sz w:val="20"/>
                <w:szCs w:val="20"/>
              </w:rPr>
              <w:t xml:space="preserve">Budget (CAT3)</w:t>
            </w:r>
          </w:p>
        </w:tc>
        <w:tc>
          <w:tcPr>
            <w:tcW w:type="dxa" w:w="4020"/>
            <w:shd w:fill="FFFFFF" w:val="clear"/>
            <w:tcMar>
              <w:top w:type="dxa" w:w="100"/>
              <w:left w:type="dxa" w:w="120"/>
              <w:bottom w:type="dxa" w:w="100"/>
              <w:right w:type="dxa" w:w="120"/>
            </w:tcMar>
          </w:tcPr>
          <w:p>
            <w:pPr>
              <w:jc w:val="left"/>
            </w:pPr>
            <w:r>
              <w:rPr>
                <w:b w:val="false"/>
                <w:bCs w:val="false"/>
                <w:color w:val="222222"/>
                <w:sz w:val="20"/>
                <w:szCs w:val="20"/>
              </w:rPr>
              <w:t xml:space="preserve">Second Level Domains (example.com.lk, .org.lk, .web.lk)</w:t>
            </w:r>
          </w:p>
        </w:tc>
        <w:tc>
          <w:tcPr>
            <w:tcW w:type="dxa" w:w="2220"/>
            <w:shd w:fill="FFFFFF" w:val="clear"/>
            <w:tcMar>
              <w:top w:type="dxa" w:w="100"/>
              <w:left w:type="dxa" w:w="120"/>
              <w:bottom w:type="dxa" w:w="100"/>
              <w:right w:type="dxa" w:w="120"/>
            </w:tcMar>
          </w:tcPr>
          <w:p>
            <w:pPr>
              <w:jc w:val="left"/>
            </w:pPr>
            <w:r>
              <w:rPr>
                <w:b w:val="false"/>
                <w:bCs w:val="false"/>
                <w:color w:val="222222"/>
                <w:sz w:val="20"/>
                <w:szCs w:val="20"/>
              </w:rPr>
              <w:t xml:space="preserve">Rs. 1,000</w:t>
            </w:r>
          </w:p>
        </w:tc>
      </w:tr>
      <w:tr>
        <w:trPr>
          <w:tblHeader w:val="false"/>
        </w:trPr>
        <w:tc>
          <w:tcPr>
            <w:tcW w:type="dxa" w:w="3120"/>
            <w:shd w:fill="EAF3ED" w:val="clear"/>
            <w:tcMar>
              <w:top w:type="dxa" w:w="100"/>
              <w:left w:type="dxa" w:w="120"/>
              <w:bottom w:type="dxa" w:w="100"/>
              <w:right w:type="dxa" w:w="120"/>
            </w:tcMar>
          </w:tcPr>
          <w:p>
            <w:pPr>
              <w:jc w:val="left"/>
            </w:pPr>
            <w:r>
              <w:rPr>
                <w:b/>
                <w:bCs/>
                <w:color w:val="222222"/>
                <w:sz w:val="20"/>
                <w:szCs w:val="20"/>
              </w:rPr>
              <w:t xml:space="preserve">Economy (CAT2) - Popular Choice</w:t>
            </w:r>
          </w:p>
        </w:tc>
        <w:tc>
          <w:tcPr>
            <w:tcW w:type="dxa" w:w="4020"/>
            <w:shd w:fill="EAF3ED" w:val="clear"/>
            <w:tcMar>
              <w:top w:type="dxa" w:w="100"/>
              <w:left w:type="dxa" w:w="120"/>
              <w:bottom w:type="dxa" w:w="100"/>
              <w:right w:type="dxa" w:w="120"/>
            </w:tcMar>
          </w:tcPr>
          <w:p>
            <w:pPr>
              <w:jc w:val="left"/>
            </w:pPr>
            <w:r>
              <w:rPr>
                <w:b w:val="false"/>
                <w:bCs w:val="false"/>
                <w:color w:val="222222"/>
                <w:sz w:val="20"/>
                <w:szCs w:val="20"/>
              </w:rPr>
              <w:t xml:space="preserve">Top Level Domain Only (example.lk)</w:t>
            </w:r>
          </w:p>
        </w:tc>
        <w:tc>
          <w:tcPr>
            <w:tcW w:type="dxa" w:w="2220"/>
            <w:shd w:fill="EAF3ED" w:val="clear"/>
            <w:tcMar>
              <w:top w:type="dxa" w:w="100"/>
              <w:left w:type="dxa" w:w="120"/>
              <w:bottom w:type="dxa" w:w="100"/>
              <w:right w:type="dxa" w:w="120"/>
            </w:tcMar>
          </w:tcPr>
          <w:p>
            <w:pPr>
              <w:jc w:val="left"/>
            </w:pPr>
            <w:r>
              <w:rPr>
                <w:b w:val="false"/>
                <w:bCs w:val="false"/>
                <w:color w:val="222222"/>
                <w:sz w:val="20"/>
                <w:szCs w:val="20"/>
              </w:rPr>
              <w:t xml:space="preserve">Rs. 5,000</w:t>
            </w:r>
          </w:p>
        </w:tc>
      </w:tr>
      <w:tr>
        <w:trPr>
          <w:tblHeader w:val="false"/>
        </w:trPr>
        <w:tc>
          <w:tcPr>
            <w:tcW w:type="dxa" w:w="3120"/>
            <w:shd w:fill="FFFFFF" w:val="clear"/>
            <w:tcMar>
              <w:top w:type="dxa" w:w="100"/>
              <w:left w:type="dxa" w:w="120"/>
              <w:bottom w:type="dxa" w:w="100"/>
              <w:right w:type="dxa" w:w="120"/>
            </w:tcMar>
          </w:tcPr>
          <w:p>
            <w:pPr>
              <w:jc w:val="left"/>
            </w:pPr>
            <w:r>
              <w:rPr>
                <w:b/>
                <w:bCs/>
                <w:color w:val="222222"/>
                <w:sz w:val="20"/>
                <w:szCs w:val="20"/>
              </w:rPr>
              <w:t xml:space="preserve">Standard (CAT1) - Best Choice</w:t>
            </w:r>
          </w:p>
        </w:tc>
        <w:tc>
          <w:tcPr>
            <w:tcW w:type="dxa" w:w="4020"/>
            <w:shd w:fill="FFFFFF" w:val="clear"/>
            <w:tcMar>
              <w:top w:type="dxa" w:w="100"/>
              <w:left w:type="dxa" w:w="120"/>
              <w:bottom w:type="dxa" w:w="100"/>
              <w:right w:type="dxa" w:w="120"/>
            </w:tcMar>
          </w:tcPr>
          <w:p>
            <w:pPr>
              <w:jc w:val="left"/>
            </w:pPr>
            <w:r>
              <w:rPr>
                <w:b w:val="false"/>
                <w:bCs w:val="false"/>
                <w:color w:val="222222"/>
                <w:sz w:val="20"/>
                <w:szCs w:val="20"/>
              </w:rPr>
              <w:t xml:space="preserve">Full package: all Second-Level + .com.lk, .org.lk, .edu.lk, .web.lk, .hotel.lk</w:t>
            </w:r>
          </w:p>
        </w:tc>
        <w:tc>
          <w:tcPr>
            <w:tcW w:type="dxa" w:w="2220"/>
            <w:shd w:fill="FFFFFF" w:val="clear"/>
            <w:tcMar>
              <w:top w:type="dxa" w:w="100"/>
              <w:left w:type="dxa" w:w="120"/>
              <w:bottom w:type="dxa" w:w="100"/>
              <w:right w:type="dxa" w:w="120"/>
            </w:tcMar>
          </w:tcPr>
          <w:p>
            <w:pPr>
              <w:jc w:val="left"/>
            </w:pPr>
            <w:r>
              <w:rPr>
                <w:b w:val="false"/>
                <w:bCs w:val="false"/>
                <w:color w:val="222222"/>
                <w:sz w:val="20"/>
                <w:szCs w:val="20"/>
              </w:rPr>
              <w:t xml:space="preserve">Rs. 8,000</w:t>
            </w:r>
          </w:p>
        </w:tc>
      </w:tr>
      <w:tr>
        <w:trPr>
          <w:tblHeader w:val="false"/>
        </w:trPr>
        <w:tc>
          <w:tcPr>
            <w:tcW w:type="dxa" w:w="3120"/>
            <w:shd w:fill="EAF3ED" w:val="clear"/>
            <w:tcMar>
              <w:top w:type="dxa" w:w="100"/>
              <w:left w:type="dxa" w:w="120"/>
              <w:bottom w:type="dxa" w:w="100"/>
              <w:right w:type="dxa" w:w="120"/>
            </w:tcMar>
          </w:tcPr>
          <w:p>
            <w:pPr>
              <w:jc w:val="left"/>
            </w:pPr>
            <w:r>
              <w:rPr>
                <w:b/>
                <w:bCs/>
                <w:color w:val="222222"/>
                <w:sz w:val="20"/>
                <w:szCs w:val="20"/>
              </w:rPr>
              <w:t xml:space="preserve">Special (CAT5)</w:t>
            </w:r>
          </w:p>
        </w:tc>
        <w:tc>
          <w:tcPr>
            <w:tcW w:type="dxa" w:w="4020"/>
            <w:shd w:fill="EAF3ED" w:val="clear"/>
            <w:tcMar>
              <w:top w:type="dxa" w:w="100"/>
              <w:left w:type="dxa" w:w="120"/>
              <w:bottom w:type="dxa" w:w="100"/>
              <w:right w:type="dxa" w:w="120"/>
            </w:tcMar>
          </w:tcPr>
          <w:p>
            <w:pPr>
              <w:jc w:val="left"/>
            </w:pPr>
            <w:r>
              <w:rPr>
                <w:b w:val="false"/>
                <w:bCs w:val="false"/>
                <w:color w:val="222222"/>
                <w:sz w:val="20"/>
                <w:szCs w:val="20"/>
              </w:rPr>
              <w:t xml:space="preserve">Three-letter names and 8-10 digit numbers</w:t>
            </w:r>
          </w:p>
        </w:tc>
        <w:tc>
          <w:tcPr>
            <w:tcW w:type="dxa" w:w="2220"/>
            <w:shd w:fill="EAF3ED" w:val="clear"/>
            <w:tcMar>
              <w:top w:type="dxa" w:w="100"/>
              <w:left w:type="dxa" w:w="120"/>
              <w:bottom w:type="dxa" w:w="100"/>
              <w:right w:type="dxa" w:w="120"/>
            </w:tcMar>
          </w:tcPr>
          <w:p>
            <w:pPr>
              <w:jc w:val="left"/>
            </w:pPr>
            <w:r>
              <w:rPr>
                <w:b w:val="false"/>
                <w:bCs w:val="false"/>
                <w:color w:val="222222"/>
                <w:sz w:val="20"/>
                <w:szCs w:val="20"/>
              </w:rPr>
              <w:t xml:space="preserve">Rs. 15,000</w:t>
            </w:r>
          </w:p>
        </w:tc>
      </w:tr>
      <w:tr>
        <w:trPr>
          <w:tblHeader w:val="false"/>
        </w:trPr>
        <w:tc>
          <w:tcPr>
            <w:tcW w:type="dxa" w:w="3120"/>
            <w:shd w:fill="FFFFFF" w:val="clear"/>
            <w:tcMar>
              <w:top w:type="dxa" w:w="100"/>
              <w:left w:type="dxa" w:w="120"/>
              <w:bottom w:type="dxa" w:w="100"/>
              <w:right w:type="dxa" w:w="120"/>
            </w:tcMar>
          </w:tcPr>
          <w:p>
            <w:pPr>
              <w:jc w:val="left"/>
            </w:pPr>
            <w:r>
              <w:rPr>
                <w:b/>
                <w:bCs/>
                <w:color w:val="222222"/>
                <w:sz w:val="20"/>
                <w:szCs w:val="20"/>
              </w:rPr>
              <w:t xml:space="preserve">Premium (CAT4)</w:t>
            </w:r>
          </w:p>
        </w:tc>
        <w:tc>
          <w:tcPr>
            <w:tcW w:type="dxa" w:w="4020"/>
            <w:shd w:fill="FFFFFF" w:val="clear"/>
            <w:tcMar>
              <w:top w:type="dxa" w:w="100"/>
              <w:left w:type="dxa" w:w="120"/>
              <w:bottom w:type="dxa" w:w="100"/>
              <w:right w:type="dxa" w:w="120"/>
            </w:tcMar>
          </w:tcPr>
          <w:p>
            <w:pPr>
              <w:jc w:val="left"/>
            </w:pPr>
            <w:r>
              <w:rPr>
                <w:b w:val="false"/>
                <w:bCs w:val="false"/>
                <w:color w:val="222222"/>
                <w:sz w:val="20"/>
                <w:szCs w:val="20"/>
              </w:rPr>
              <w:t xml:space="preserve">Two-letter names and 2-7 digit numbers</w:t>
            </w:r>
          </w:p>
        </w:tc>
        <w:tc>
          <w:tcPr>
            <w:tcW w:type="dxa" w:w="2220"/>
            <w:shd w:fill="FFFFFF" w:val="clear"/>
            <w:tcMar>
              <w:top w:type="dxa" w:w="100"/>
              <w:left w:type="dxa" w:w="120"/>
              <w:bottom w:type="dxa" w:w="100"/>
              <w:right w:type="dxa" w:w="120"/>
            </w:tcMar>
          </w:tcPr>
          <w:p>
            <w:pPr>
              <w:jc w:val="left"/>
            </w:pPr>
            <w:r>
              <w:rPr>
                <w:b w:val="false"/>
                <w:bCs w:val="false"/>
                <w:color w:val="222222"/>
                <w:sz w:val="20"/>
                <w:szCs w:val="20"/>
              </w:rPr>
              <w:t xml:space="preserve">Rs. 40,000</w:t>
            </w:r>
          </w:p>
        </w:tc>
      </w:tr>
    </w:tbl>
    <w:p>
      <w:pPr>
        <w:pStyle w:val="Heading1"/>
        <w:pBdr>
          <w:bottom w:val="single" w:color="2F6B4F" w:sz="6" w:space="4"/>
        </w:pBdr>
        <w:spacing w:after="160" w:before="360"/>
      </w:pPr>
      <w:r>
        <w:rPr>
          <w:b/>
          <w:bCs/>
          <w:color w:val="2F6B4F"/>
          <w:sz w:val="30"/>
          <w:szCs w:val="30"/>
        </w:rPr>
        <w:t xml:space="preserve">5. Recommendation</w:t>
      </w:r>
    </w:p>
    <w:p>
      <w:pPr>
        <w:pStyle w:val="Heading2"/>
        <w:spacing w:after="120" w:before="260"/>
      </w:pPr>
      <w:r>
        <w:rPr>
          <w:b/>
          <w:bCs/>
          <w:color w:val="2F6B4F"/>
          <w:sz w:val="24"/>
          <w:szCs w:val="24"/>
        </w:rPr>
        <w:t xml:space="preserve">If Juice Vibe has a Business Registration (BR) certificate:</w:t>
      </w:r>
    </w:p>
    <w:p>
      <w:pPr>
        <w:spacing w:after="160" w:line="300"/>
      </w:pPr>
      <w:r>
        <w:rPr>
          <w:color w:val="222222"/>
          <w:sz w:val="22"/>
          <w:szCs w:val="22"/>
        </w:rPr>
        <w:t xml:space="preserve">Register.lk is the recommended choice. It has the strongest reputation in the Sri Lankan market (recognized as the top-selling, officially sanctioned agent for .LK domains), the lowest renewal cost long-term (Rs. 4,700/year vs Rs. 5,000/year), and dedicated local support in Colombo. This is the safer, more established option for a business that plans to grow its brand over time.</w:t>
      </w:r>
    </w:p>
    <w:p>
      <w:pPr>
        <w:pStyle w:val="Heading2"/>
        <w:spacing w:after="120" w:before="260"/>
      </w:pPr>
      <w:r>
        <w:rPr>
          <w:b/>
          <w:bCs/>
          <w:color w:val="2F6B4F"/>
          <w:sz w:val="24"/>
          <w:szCs w:val="24"/>
        </w:rPr>
        <w:t xml:space="preserve">If Juice Vibe does not yet have BR documents ready:</w:t>
      </w:r>
    </w:p>
    <w:p>
      <w:pPr>
        <w:spacing w:after="160" w:line="300"/>
      </w:pPr>
      <w:r>
        <w:rPr>
          <w:color w:val="222222"/>
          <w:sz w:val="22"/>
          <w:szCs w:val="22"/>
        </w:rPr>
        <w:t xml:space="preserve">DomainSearch.LK is a good alternative. It does not require business registration documents and can activate the domain within 15 minutes of payment, which is useful if the launch timeline is tight.</w:t>
      </w:r>
    </w:p>
    <w:p>
      <w:pPr>
        <w:spacing w:after="160" w:line="300"/>
      </w:pPr>
      <w:r>
        <w:rPr>
          <w:color w:val="222222"/>
          <w:sz w:val="22"/>
          <w:szCs w:val="22"/>
        </w:rPr>
        <w:t xml:space="preserve">Either way, the domain will be registered directly under Juice Vibe's business name and contact details, ensuring the client retains full, permanent ownership regardless of which provider is used.</w:t>
      </w:r>
    </w:p>
    <w:p>
      <w:pPr>
        <w:pStyle w:val="Heading1"/>
        <w:pBdr>
          <w:bottom w:val="single" w:color="2F6B4F" w:sz="6" w:space="4"/>
        </w:pBdr>
        <w:spacing w:after="160" w:before="360"/>
      </w:pPr>
      <w:r>
        <w:rPr>
          <w:b/>
          <w:bCs/>
          <w:color w:val="2F6B4F"/>
          <w:sz w:val="30"/>
          <w:szCs w:val="30"/>
        </w:rPr>
        <w:t xml:space="preserve">6. What Happens After Registration</w:t>
      </w:r>
    </w:p>
    <w:p>
      <w:pPr>
        <w:pStyle w:val="ListParagraph"/>
        <w:numPr>
          <w:ilvl w:val="0"/>
          <w:numId w:val="1"/>
        </w:numPr>
        <w:spacing w:after="80"/>
      </w:pPr>
      <w:r>
        <w:rPr>
          <w:color w:val="222222"/>
          <w:sz w:val="22"/>
          <w:szCs w:val="22"/>
        </w:rPr>
        <w:t xml:space="preserve">Domain (juicevibe.lk) connected to the live website with secure HTTPS.</w:t>
      </w:r>
    </w:p>
    <w:p>
      <w:pPr>
        <w:pStyle w:val="ListParagraph"/>
        <w:numPr>
          <w:ilvl w:val="0"/>
          <w:numId w:val="1"/>
        </w:numPr>
        <w:spacing w:after="80"/>
      </w:pPr>
      <w:r>
        <w:rPr>
          <w:color w:val="222222"/>
          <w:sz w:val="22"/>
          <w:szCs w:val="22"/>
        </w:rPr>
        <w:t xml:space="preserve">Google Business Profile created and verified (Search, Maps, Near Me results).</w:t>
      </w:r>
    </w:p>
    <w:p>
      <w:pPr>
        <w:pStyle w:val="ListParagraph"/>
        <w:numPr>
          <w:ilvl w:val="0"/>
          <w:numId w:val="1"/>
        </w:numPr>
        <w:spacing w:after="80"/>
      </w:pPr>
      <w:r>
        <w:rPr>
          <w:color w:val="222222"/>
          <w:sz w:val="22"/>
          <w:szCs w:val="22"/>
        </w:rPr>
        <w:t xml:space="preserve">SEO setup: Search Console, sitemap, structured data, mobile &amp; speed optimization.</w:t>
      </w:r>
    </w:p>
    <w:p>
      <w:pPr>
        <w:pStyle w:val="ListParagraph"/>
        <w:numPr>
          <w:ilvl w:val="0"/>
          <w:numId w:val="1"/>
        </w:numPr>
        <w:spacing w:after="80"/>
      </w:pPr>
      <w:r>
        <w:rPr>
          <w:color w:val="222222"/>
          <w:sz w:val="22"/>
          <w:szCs w:val="22"/>
        </w:rPr>
        <w:t xml:space="preserve">Optional: professional business email (e.g., info@juicevibe.lk, orders@juicevibe.lk).</w:t>
      </w:r>
    </w:p>
    <w:p>
      <w:pPr>
        <w:pStyle w:val="ListParagraph"/>
        <w:numPr>
          <w:ilvl w:val="0"/>
          <w:numId w:val="1"/>
        </w:numPr>
        <w:spacing w:after="80"/>
      </w:pPr>
      <w:r>
        <w:rPr>
          <w:color w:val="222222"/>
          <w:sz w:val="22"/>
          <w:szCs w:val="22"/>
        </w:rPr>
        <w:t xml:space="preserve">QR code table-ordering system configured for in-store use.</w:t>
      </w:r>
    </w:p>
    <w:p>
      <w:pPr>
        <w:pStyle w:val="ListParagraph"/>
        <w:numPr>
          <w:ilvl w:val="0"/>
          <w:numId w:val="1"/>
        </w:numPr>
        <w:spacing w:after="80"/>
      </w:pPr>
      <w:r>
        <w:rPr>
          <w:color w:val="222222"/>
          <w:sz w:val="22"/>
          <w:szCs w:val="22"/>
        </w:rPr>
        <w:t xml:space="preserve">Client training on managing the domain, website admin, and business profile.</w:t>
      </w:r>
    </w:p>
    <w:p>
      <w:pPr>
        <w:pStyle w:val="Heading1"/>
        <w:pBdr>
          <w:bottom w:val="single" w:color="2F6B4F" w:sz="6" w:space="4"/>
        </w:pBdr>
        <w:spacing w:after="160" w:before="360"/>
      </w:pPr>
      <w:r>
        <w:rPr>
          <w:b/>
          <w:bCs/>
          <w:color w:val="2F6B4F"/>
          <w:sz w:val="30"/>
          <w:szCs w:val="30"/>
        </w:rPr>
        <w:t xml:space="preserve">7. Ownership &amp; Next Step</w:t>
      </w:r>
    </w:p>
    <w:p>
      <w:pPr>
        <w:spacing w:after="160" w:line="300"/>
      </w:pPr>
      <w:r>
        <w:rPr>
          <w:color w:val="222222"/>
          <w:sz w:val="22"/>
          <w:szCs w:val="22"/>
        </w:rPr>
        <w:t xml:space="preserve">As agreed, all key digital assets, the domain name, Google Business Profile, business email, website, and business data, will be registered and remain in Juice Vibe's name and ownership. Technical setup and ongoing maintenance can continue to be provided as a support service.</w:t>
      </w:r>
    </w:p>
    <w:p>
      <w:pPr>
        <w:spacing w:after="160" w:line="300"/>
      </w:pPr>
      <w:r>
        <w:rPr>
          <w:b/>
          <w:bCs/>
          <w:color w:val="222222"/>
          <w:sz w:val="22"/>
          <w:szCs w:val="22"/>
        </w:rPr>
        <w:t xml:space="preserve">Next step: once Juice Vibe confirms the provider choice and any remaining balance is settled, domain registration and go-live can begin immediately.</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Juice Vibe Waskaduwa - Domain Provider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2026-07-22T07:01:52.634Z</dcterms:created>
  <dcterms:modified xsi:type="dcterms:W3CDTF">2026-07-22T07:01:52.651Z</dcterms:modified>
</cp:coreProperties>
</file>

<file path=docProps/custom.xml><?xml version="1.0" encoding="utf-8"?>
<Properties xmlns="http://schemas.openxmlformats.org/officeDocument/2006/custom-properties" xmlns:vt="http://schemas.openxmlformats.org/officeDocument/2006/docPropsVTypes"/>
</file>