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EPGM Additional Experiment Plan</w:t>
      </w:r>
    </w:p>
    <w:p>
      <w:pPr>
        <w:jc w:val="center"/>
      </w:pPr>
      <w:r>
        <w:rPr>
          <w:i/>
          <w:sz w:val="20"/>
        </w:rPr>
        <w:t>Goal: strengthen validity, downstream usefulness, and the “when provenance helps” story — without adding unnecessary baselines.</w:t>
      </w:r>
    </w:p>
    <w:p>
      <w:pPr>
        <w:pStyle w:val="Heading1"/>
      </w:pPr>
      <w:r>
        <w:t>Recommended Experiments</w:t>
      </w:r>
    </w:p>
    <w:p>
      <w:pPr>
        <w:spacing w:before="120" w:after="40"/>
      </w:pPr>
      <w:r>
        <w:rPr>
          <w:b/>
          <w:sz w:val="22"/>
        </w:rPr>
        <w:t>1. Human Audit + Verified Subset</w:t>
      </w:r>
      <w:r>
        <w:rPr>
          <w:b/>
          <w:sz w:val="19"/>
        </w:rPr>
        <w:t xml:space="preserve">  [MUST DO]</w:t>
      </w:r>
    </w:p>
    <w:p>
      <w:pPr>
        <w:spacing w:after="20"/>
        <w:ind w:left="259"/>
      </w:pPr>
      <w:r>
        <w:t>Audit 400–500 test queries with two annotators + adjudication. Check query validity, answerability, gold correctness/completeness, and query-type accuracy. Re-run Flat Dense-FT, PU Dense-FT, and Residual R-GCN on a 300–500 query fully verified subset.</w:t>
      </w:r>
    </w:p>
    <w:p>
      <w:pPr>
        <w:spacing w:after="60"/>
        <w:ind w:left="259"/>
      </w:pPr>
      <w:r>
        <w:rPr>
          <w:i/>
        </w:rPr>
        <w:t>Purpose: validate the LLM-authored evaluation artifact and show that the main gains survive human verification.</w:t>
      </w:r>
    </w:p>
    <w:p>
      <w:pPr>
        <w:spacing w:before="120" w:after="40"/>
      </w:pPr>
      <w:r>
        <w:rPr>
          <w:b/>
          <w:sz w:val="22"/>
        </w:rPr>
        <w:t>2. End-to-End QA</w:t>
      </w:r>
      <w:r>
        <w:rPr>
          <w:b/>
          <w:sz w:val="19"/>
        </w:rPr>
        <w:t xml:space="preserve">  [MUST DO]</w:t>
      </w:r>
    </w:p>
    <w:p>
      <w:pPr>
        <w:spacing w:after="20"/>
        <w:ind w:left="259"/>
      </w:pPr>
      <w:r>
        <w:t>Use ~500–800 linked + multi-fact queries. Feed each retriever’s top evidence under the same 2048-token budget to the same answering LLM. Compare Flat Dense-FT, PU Dense-FT, and Residual R-GCN.</w:t>
      </w:r>
    </w:p>
    <w:p>
      <w:pPr>
        <w:spacing w:after="60"/>
        <w:ind w:left="259"/>
      </w:pPr>
      <w:r>
        <w:rPr>
          <w:i/>
        </w:rPr>
        <w:t>Report QA accuracy (and F1 if applicable), plus accuracy conditioned on Full Support = 1 vs. 0. Goal: show that higher Full Support translates into better downstream answering.</w:t>
      </w:r>
    </w:p>
    <w:p>
      <w:pPr>
        <w:spacing w:before="120" w:after="40"/>
      </w:pPr>
      <w:r>
        <w:rPr>
          <w:b/>
          <w:sz w:val="22"/>
        </w:rPr>
        <w:t>3. Evidence Dispersion Analysis</w:t>
      </w:r>
      <w:r>
        <w:rPr>
          <w:b/>
          <w:sz w:val="19"/>
        </w:rPr>
        <w:t xml:space="preserve">  [HIGH]</w:t>
      </w:r>
    </w:p>
    <w:p>
      <w:pPr>
        <w:spacing w:after="20"/>
        <w:ind w:left="259"/>
      </w:pPr>
      <w:r>
        <w:t>Group queries by number of distinct gold-bearing execution events: 1 / 2 / ≥3. Report Residual R-GCN − exact seed passthrough on Coverage@1024 and Full Support@2048.</w:t>
      </w:r>
    </w:p>
    <w:p>
      <w:pPr>
        <w:spacing w:after="60"/>
        <w:ind w:left="259"/>
      </w:pPr>
      <w:r>
        <w:rPr>
          <w:i/>
        </w:rPr>
        <w:t>Purpose: give an objective structural explanation of when graph propagation helps, beyond authored Direct/Linked/Multi-fact labels.</w:t>
      </w:r>
    </w:p>
    <w:p>
      <w:pPr>
        <w:spacing w:before="120" w:after="40"/>
      </w:pPr>
      <w:r>
        <w:rPr>
          <w:b/>
          <w:sz w:val="22"/>
        </w:rPr>
        <w:t>4. Training-Size Robustness</w:t>
      </w:r>
      <w:r>
        <w:rPr>
          <w:b/>
          <w:sz w:val="19"/>
        </w:rPr>
        <w:t xml:space="preserve">  [MEDIUM]</w:t>
      </w:r>
    </w:p>
    <w:p>
      <w:pPr>
        <w:spacing w:after="20"/>
        <w:ind w:left="259"/>
      </w:pPr>
      <w:r>
        <w:t>Train with 10% / 25% / 50% / 100% of supervision. Only compare PU Dense-FT, exact seed passthrough, and Residual R-GCN.</w:t>
      </w:r>
    </w:p>
    <w:p>
      <w:pPr>
        <w:spacing w:after="60"/>
        <w:ind w:left="259"/>
      </w:pPr>
      <w:r>
        <w:rPr>
          <w:i/>
        </w:rPr>
        <w:t>Purpose: test whether the graph residual remains useful with less supervision; especially valuable if structure helps more in low-data regimes.</w:t>
      </w:r>
    </w:p>
    <w:p>
      <w:pPr>
        <w:spacing w:before="120" w:after="40"/>
      </w:pPr>
      <w:r>
        <w:rPr>
          <w:b/>
          <w:sz w:val="22"/>
        </w:rPr>
        <w:t>5. Second Retriever Backbone</w:t>
      </w:r>
      <w:r>
        <w:rPr>
          <w:b/>
          <w:sz w:val="19"/>
        </w:rPr>
        <w:t xml:space="preserve">  [OPTIONAL]</w:t>
      </w:r>
    </w:p>
    <w:p>
      <w:pPr>
        <w:spacing w:after="20"/>
        <w:ind w:left="259"/>
      </w:pPr>
      <w:r>
        <w:t>Repeat only Flat vs. Provenance-Unit retrieval with one additional embedding backbone.</w:t>
      </w:r>
    </w:p>
    <w:p>
      <w:pPr>
        <w:spacing w:after="60"/>
        <w:ind w:left="259"/>
      </w:pPr>
      <w:r>
        <w:rPr>
          <w:i/>
        </w:rPr>
        <w:t>Purpose: confirm that the segmentation benefit is not specific to E5. Lower priority because the current cross-encoder control already provides architectural diversity.</w:t>
      </w:r>
    </w:p>
    <w:p>
      <w:pPr>
        <w:pStyle w:val="Heading1"/>
      </w:pPr>
      <w:r>
        <w:t>Do Not Spend Time On</w:t>
      </w:r>
    </w:p>
    <w:p>
      <w:pPr>
        <w:ind w:left="288" w:hanging="216"/>
      </w:pPr>
      <w:r>
        <w:rPr>
          <w:b/>
        </w:rPr>
        <w:t xml:space="preserve">• </w:t>
      </w:r>
      <w:r>
        <w:t>More GraphRAG / HippoRAG / LightRAG variants. The key contribution is the controlled decomposition, not beating many graph baselines.</w:t>
      </w:r>
    </w:p>
    <w:p>
      <w:pPr>
        <w:ind w:left="288" w:hanging="216"/>
      </w:pPr>
      <w:r>
        <w:rPr>
          <w:b/>
        </w:rPr>
        <w:t xml:space="preserve">• </w:t>
      </w:r>
      <w:r>
        <w:t>More fine-grained relation ablations. Existing controls already show that feeds and execution ownership matter, artifact I/O is weak, adjacency may add noise, and both relation types and real endpoints matter.</w:t>
      </w:r>
    </w:p>
    <w:p>
      <w:pPr>
        <w:pStyle w:val="Heading1"/>
      </w:pPr>
      <w:r>
        <w:t>Final Recommended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Main Role</w:t>
            </w:r>
          </w:p>
        </w:tc>
      </w:tr>
      <w:tr>
        <w:tc>
          <w:tcPr>
            <w:tcW w:type="dxa" w:w="3360"/>
          </w:tcPr>
          <w:p>
            <w:r>
              <w:t>Human Audit</w:t>
            </w:r>
          </w:p>
        </w:tc>
        <w:tc>
          <w:tcPr>
            <w:tcW w:type="dxa" w:w="3360"/>
          </w:tcPr>
          <w:p>
            <w:r>
              <w:t>Must</w:t>
            </w:r>
          </w:p>
        </w:tc>
        <w:tc>
          <w:tcPr>
            <w:tcW w:type="dxa" w:w="3360"/>
          </w:tcPr>
          <w:p>
            <w:r>
              <w:t>Evaluation validity</w:t>
            </w:r>
          </w:p>
        </w:tc>
      </w:tr>
      <w:tr>
        <w:tc>
          <w:tcPr>
            <w:tcW w:type="dxa" w:w="3360"/>
          </w:tcPr>
          <w:p>
            <w:r>
              <w:t>End-to-End QA</w:t>
            </w:r>
          </w:p>
        </w:tc>
        <w:tc>
          <w:tcPr>
            <w:tcW w:type="dxa" w:w="3360"/>
          </w:tcPr>
          <w:p>
            <w:r>
              <w:t>Must</w:t>
            </w:r>
          </w:p>
        </w:tc>
        <w:tc>
          <w:tcPr>
            <w:tcW w:type="dxa" w:w="3360"/>
          </w:tcPr>
          <w:p>
            <w:r>
              <w:t>Downstream usefulness</w:t>
            </w:r>
          </w:p>
        </w:tc>
      </w:tr>
      <w:tr>
        <w:tc>
          <w:tcPr>
            <w:tcW w:type="dxa" w:w="3360"/>
          </w:tcPr>
          <w:p>
            <w:r>
              <w:t>Evidence Dispersion</w:t>
            </w:r>
          </w:p>
        </w:tc>
        <w:tc>
          <w:tcPr>
            <w:tcW w:type="dxa" w:w="3360"/>
          </w:tcPr>
          <w:p>
            <w:r>
              <w:t>High</w:t>
            </w:r>
          </w:p>
        </w:tc>
        <w:tc>
          <w:tcPr>
            <w:tcW w:type="dxa" w:w="3360"/>
          </w:tcPr>
          <w:p>
            <w:r>
              <w:t>When graph helps</w:t>
            </w:r>
          </w:p>
        </w:tc>
      </w:tr>
      <w:tr>
        <w:tc>
          <w:tcPr>
            <w:tcW w:type="dxa" w:w="3360"/>
          </w:tcPr>
          <w:p>
            <w:r>
              <w:t>Training-Size Robustness</w:t>
            </w:r>
          </w:p>
        </w:tc>
        <w:tc>
          <w:tcPr>
            <w:tcW w:type="dxa" w:w="3360"/>
          </w:tcPr>
          <w:p>
            <w:r>
              <w:t>Medium</w:t>
            </w:r>
          </w:p>
        </w:tc>
        <w:tc>
          <w:tcPr>
            <w:tcW w:type="dxa" w:w="3360"/>
          </w:tcPr>
          <w:p>
            <w:r>
              <w:t>Robustness to supervision</w:t>
            </w:r>
          </w:p>
        </w:tc>
      </w:tr>
    </w:tbl>
    <w:p/>
    <w:p>
      <w:r>
        <w:rPr>
          <w:b/>
        </w:rPr>
        <w:t>Stop after these four experiments.</w:t>
      </w:r>
      <w:r>
        <w:t xml:space="preserve"> The paper is already experimentally dense; further effort should go into tightening the narrative and figures.</w:t>
      </w:r>
    </w:p>
    <w:p>
      <w:pPr>
        <w:pStyle w:val="Heading1"/>
      </w:pPr>
      <w:r>
        <w:t>Target Empirical Story</w:t>
      </w:r>
    </w:p>
    <w:p>
      <w:pPr>
        <w:spacing w:after="40"/>
      </w:pPr>
      <w:r>
        <w:rPr>
          <w:b/>
        </w:rPr>
        <w:t xml:space="preserve">Representation: </w:t>
      </w:r>
      <w:r>
        <w:t>Flat Dense-FT → PU Dense-FT: +19.35 Full Support@2048</w:t>
      </w:r>
    </w:p>
    <w:p>
      <w:pPr>
        <w:spacing w:after="40"/>
      </w:pPr>
      <w:r>
        <w:rPr>
          <w:b/>
        </w:rPr>
        <w:t xml:space="preserve">Graph residual: </w:t>
      </w:r>
      <w:r>
        <w:t>Exact seed → Residual R-GCN: +5.33 Full Support@2048</w:t>
      </w:r>
    </w:p>
    <w:p>
      <w:pPr>
        <w:spacing w:after="40"/>
      </w:pPr>
      <w:r>
        <w:rPr>
          <w:b/>
        </w:rPr>
        <w:t xml:space="preserve">Distributed evidence: </w:t>
      </w:r>
      <w:r>
        <w:t>Graph gain: Direct +1.25 / Linked +4.86 / Multi-fact +12.07</w:t>
      </w:r>
    </w:p>
    <w:p>
      <w:pPr>
        <w:spacing w:after="40"/>
      </w:pPr>
      <w:r>
        <w:rPr>
          <w:b/>
        </w:rPr>
        <w:t xml:space="preserve">Validity: </w:t>
      </w:r>
      <w:r>
        <w:t>Main gains remain on the human-verified subset</w:t>
      </w:r>
    </w:p>
    <w:p>
      <w:pPr>
        <w:spacing w:after="40"/>
      </w:pPr>
      <w:r>
        <w:rPr>
          <w:b/>
        </w:rPr>
        <w:t xml:space="preserve">Downstream value: </w:t>
      </w:r>
      <w:r>
        <w:t>Higher Full Support leads to higher QA accuracy</w:t>
      </w:r>
    </w:p>
    <w:p>
      <w:pPr>
        <w:spacing w:after="40"/>
      </w:pPr>
      <w:r>
        <w:rPr>
          <w:b/>
        </w:rPr>
        <w:t xml:space="preserve">Efficiency: </w:t>
      </w:r>
      <w:r>
        <w:t>Graph residual adds only ~3.44% mean retrieval latency over exact seed passthrough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