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libri" w:cs="Calibri" w:eastAsia="Calibri" w:hAnsi="Calibri"/>
          <w:b/>
          <w:bCs/>
          <w:color w:val="1E2761"/>
          <w:sz w:val="56"/>
          <w:szCs w:val="56"/>
        </w:rPr>
        <w:t xml:space="preserve">The Sailor Digital Twin</w:t>
      </w:r>
    </w:p>
    <w:p>
      <w:pPr>
        <w:spacing w:after="120"/>
        <w:jc w:val="center"/>
      </w:pPr>
      <w:r>
        <w:rPr>
          <w:rFonts w:ascii="Calibri" w:cs="Calibri" w:eastAsia="Calibri" w:hAnsi="Calibri"/>
          <w:color w:val="1E2761"/>
          <w:sz w:val="36"/>
          <w:szCs w:val="36"/>
        </w:rPr>
        <w:t xml:space="preserve">Design &amp; POC Reference</w:t>
      </w:r>
    </w:p>
    <w:p>
      <w:pPr>
        <w:spacing w:after="1200"/>
        <w:jc w:val="center"/>
      </w:pPr>
      <w:r>
        <w:rPr>
          <w:i/>
          <w:iCs/>
          <w:color w:val="5A5A5A"/>
          <w:sz w:val="28"/>
          <w:szCs w:val="28"/>
        </w:rPr>
        <w:t xml:space="preserve">MyNavy HR Organization</w:t>
      </w:r>
    </w:p>
    <w:p>
      <w:pPr>
        <w:spacing w:after="1800"/>
        <w:jc w:val="center"/>
      </w:pPr>
      <w:r>
        <w:rPr>
          <w:i/>
          <w:iCs/>
          <w:color w:val="B89B3D"/>
          <w:sz w:val="26"/>
          <w:szCs w:val="26"/>
        </w:rPr>
        <w:t xml:space="preserve">Authoritative Data First. Sailor Always. Digital Twin Built Right.</w:t>
      </w:r>
    </w:p>
    <w:p>
      <w:pPr>
        <w:spacing w:after="60"/>
        <w:jc w:val="center"/>
      </w:pPr>
      <w:r>
        <w:rPr>
          <w:color w:val="1A1A1A"/>
          <w:sz w:val="24"/>
          <w:szCs w:val="24"/>
        </w:rPr>
        <w:t xml:space="preserve">Conversation reference document</w:t>
      </w:r>
    </w:p>
    <w:p>
      <w:pPr>
        <w:spacing w:after="60"/>
        <w:jc w:val="center"/>
      </w:pPr>
      <w:r>
        <w:rPr>
          <w:i/>
          <w:iCs/>
          <w:color w:val="5A5A5A"/>
          <w:sz w:val="22"/>
          <w:szCs w:val="22"/>
        </w:rPr>
        <w:t xml:space="preserve">Captures the design discussion, scenario specifications, data architecture, and POC implementation</w:t>
      </w:r>
    </w:p>
    <w:p>
      <w:pPr>
        <w:spacing w:after="60"/>
        <w:jc w:val="center"/>
      </w:pPr>
      <w:r>
        <w:rPr>
          <w:color w:val="5A5A5A"/>
          <w:sz w:val="20"/>
          <w:szCs w:val="20"/>
        </w:rPr>
        <w:t xml:space="preserve">Generated 26 April 2026</w:t>
      </w:r>
    </w:p>
    <w:p>
      <w:pPr>
        <w:jc w:val="center"/>
      </w:pPr>
      <w:r>
        <w:rPr>
          <w:b/>
          <w:bCs/>
          <w:color w:val="B22222"/>
          <w:sz w:val="18"/>
          <w:szCs w:val="18"/>
        </w:rPr>
        <w:t xml:space="preserve">DRAFT // PRE-DECISIONAL — UNCLASSIFIED</w:t>
      </w:r>
    </w:p>
    <w:p>
      <w:r>
        <w:br w:type="page"/>
      </w:r>
    </w:p>
    <w:p>
      <w:pPr>
        <w:pStyle w:val="Heading1"/>
        <w:spacing w:after="240" w:before="480"/>
      </w:pPr>
      <w:r>
        <w:rPr>
          <w:color w:val="1E2761"/>
        </w:rPr>
        <w:t xml:space="preserve">1. Executive Summary</w:t>
      </w:r>
    </w:p>
    <w:p>
      <w:pPr>
        <w:spacing w:after="120" w:line="300"/>
      </w:pPr>
      <w:r>
        <w:t xml:space="preserve">This document captures the design discussion, architectural decisions, scenario specifications, and proof-of-concept implementation for the Sailor Digital Twin initiative within the MyNavy HR organization. It is intended to serve as a reference for future briefings, technical reviews, and continuation of POC work.</w:t>
      </w:r>
    </w:p>
    <w:p>
      <w:pPr>
        <w:pStyle w:val="Heading2"/>
        <w:spacing w:after="180" w:before="360"/>
      </w:pPr>
      <w:r>
        <w:rPr>
          <w:color w:val="1E2761"/>
        </w:rPr>
        <w:t xml:space="preserve">Background</w:t>
      </w:r>
    </w:p>
    <w:p>
      <w:pPr>
        <w:spacing w:after="120" w:line="300"/>
      </w:pPr>
      <w:r>
        <w:t xml:space="preserve">The Navy lacks a single, authoritative data representation of a Sailor across the enterprise. Personnel data exists in multiple systems with inconsistent and conflicting information, leading to errors in personnel actions and pay, delays in critical lifecycle processes, increased administrative burden, and reduced confidence in the data. The core issue is not the number of systems or a lack of data — it is the absence of a single, authoritative representation of the Sailor across the enterprise.</w:t>
      </w:r>
    </w:p>
    <w:p>
      <w:pPr>
        <w:spacing w:after="120" w:line="300"/>
      </w:pPr>
      <w:r>
        <w:t xml:space="preserve">The Sailor Digital Twin addresses this by establishing an auditable, connected, event-driven digital representation of a Sailor's entire career lifecycle that continuously updates through validated personnel events and serves as the authoritative source of truth across MyNavy HR.</w:t>
      </w:r>
    </w:p>
    <w:p>
      <w:pPr>
        <w:pStyle w:val="Heading2"/>
        <w:spacing w:after="180" w:before="360"/>
      </w:pPr>
      <w:r>
        <w:rPr>
          <w:color w:val="1E2761"/>
        </w:rPr>
        <w:t xml:space="preserve">What this document covers</w:t>
      </w:r>
    </w:p>
    <w:p>
      <w:pPr>
        <w:pStyle w:val="ListParagraph"/>
        <w:numPr>
          <w:ilvl w:val="0"/>
          <w:numId w:val="2"/>
        </w:numPr>
        <w:spacing w:after="60" w:line="280"/>
      </w:pPr>
      <w:r>
        <w:t xml:space="preserve">The Digital Twin vision as articulated in OPNAV N16's 21 APR 2026 briefing</w:t>
      </w:r>
    </w:p>
    <w:p>
      <w:pPr>
        <w:pStyle w:val="ListParagraph"/>
        <w:numPr>
          <w:ilvl w:val="0"/>
          <w:numId w:val="2"/>
        </w:numPr>
        <w:spacing w:after="60" w:line="280"/>
      </w:pPr>
      <w:r>
        <w:t xml:space="preserve">The seven core data domains that compose the Sailor Digital Twin</w:t>
      </w:r>
    </w:p>
    <w:p>
      <w:pPr>
        <w:pStyle w:val="ListParagraph"/>
        <w:numPr>
          <w:ilvl w:val="0"/>
          <w:numId w:val="2"/>
        </w:numPr>
        <w:spacing w:after="60" w:line="280"/>
      </w:pPr>
      <w:r>
        <w:t xml:space="preserve">Scenario design for the two POC use cases: Retention Risk and Promotion Readiness</w:t>
      </w:r>
    </w:p>
    <w:p>
      <w:pPr>
        <w:pStyle w:val="ListParagraph"/>
        <w:numPr>
          <w:ilvl w:val="0"/>
          <w:numId w:val="2"/>
        </w:numPr>
        <w:spacing w:after="60" w:line="280"/>
      </w:pPr>
      <w:r>
        <w:t xml:space="preserve">Data model and domain architecture, including source-system mapping</w:t>
      </w:r>
    </w:p>
    <w:p>
      <w:pPr>
        <w:pStyle w:val="ListParagraph"/>
        <w:numPr>
          <w:ilvl w:val="0"/>
          <w:numId w:val="2"/>
        </w:numPr>
        <w:spacing w:after="60" w:line="280"/>
      </w:pPr>
      <w:r>
        <w:t xml:space="preserve">Synthetic data generation approach for laptop-based POC</w:t>
      </w:r>
    </w:p>
    <w:p>
      <w:pPr>
        <w:pStyle w:val="ListParagraph"/>
        <w:numPr>
          <w:ilvl w:val="0"/>
          <w:numId w:val="2"/>
        </w:numPr>
        <w:spacing w:after="60" w:line="280"/>
      </w:pPr>
      <w:r>
        <w:t xml:space="preserve">Technical implementation details (SQLite + Python + Streamlit)</w:t>
      </w:r>
    </w:p>
    <w:p>
      <w:pPr>
        <w:pStyle w:val="ListParagraph"/>
        <w:numPr>
          <w:ilvl w:val="0"/>
          <w:numId w:val="2"/>
        </w:numPr>
        <w:spacing w:after="60" w:line="280"/>
      </w:pPr>
      <w:r>
        <w:t xml:space="preserve">Suggested next steps for continuation of the work</w:t>
      </w:r>
    </w:p>
    <w:p>
      <w:r>
        <w:br w:type="page"/>
      </w:r>
    </w:p>
    <w:p>
      <w:pPr>
        <w:pStyle w:val="Heading1"/>
        <w:spacing w:after="240" w:before="480"/>
      </w:pPr>
      <w:r>
        <w:rPr>
          <w:color w:val="1E2761"/>
        </w:rPr>
        <w:t xml:space="preserve">2. Vision Review</w:t>
      </w:r>
    </w:p>
    <w:p>
      <w:pPr>
        <w:spacing w:after="120" w:line="300"/>
      </w:pPr>
      <w:r>
        <w:t xml:space="preserve">The Sailor Digital Twin is described in the 21 APR 2026 briefing as an authoritative, connected, event-driven digital representation of a Sailor's career lifecycle. Key vision elements include:</w:t>
      </w:r>
    </w:p>
    <w:p>
      <w:pPr>
        <w:pStyle w:val="Heading2"/>
        <w:spacing w:after="180" w:before="360"/>
      </w:pPr>
      <w:r>
        <w:rPr>
          <w:color w:val="1E2761"/>
        </w:rPr>
        <w:t xml:space="preserve">Problem statement</w:t>
      </w:r>
    </w:p>
    <w:p>
      <w:pPr>
        <w:spacing w:after="120" w:line="300"/>
      </w:pPr>
      <w:r>
        <w:t xml:space="preserve">Same Sailor, multiple sources of truth. Personnel data scattered across many systems with conflicting values produces three operational consequences: pay and personnel errors, delays in lifecycle processes, and erosion of trust in the data.</w:t>
      </w:r>
    </w:p>
    <w:p>
      <w:pPr>
        <w:pBdr>
          <w:left w:val="single" w:color="B89B3D" w:sz="18" w:space="12"/>
        </w:pBdr>
        <w:spacing w:after="120" w:before="120" w:line="300"/>
        <w:ind w:left="360" w:right="360"/>
      </w:pPr>
      <w:r>
        <w:rPr>
          <w:i/>
          <w:iCs/>
          <w:color w:val="1A1A1A"/>
        </w:rPr>
        <w:t xml:space="preserve">The core issue is not the number of systems or a lack of data, but the absence of a single, authoritative representation of the Sailor across the enterprise.</w:t>
      </w:r>
    </w:p>
    <w:p>
      <w:pPr>
        <w:pStyle w:val="Heading2"/>
        <w:spacing w:after="180" w:before="360"/>
      </w:pPr>
      <w:r>
        <w:rPr>
          <w:color w:val="1E2761"/>
        </w:rPr>
        <w:t xml:space="preserve">Scale of the data challenge</w:t>
      </w:r>
    </w:p>
    <w:p>
      <w:pPr>
        <w:spacing w:after="120" w:line="300"/>
      </w:pPr>
      <w:r>
        <w:t xml:space="preserve">The briefing characterizes the data narrowing path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Stage</w:t>
            </w:r>
          </w:p>
        </w:tc>
        <w:tc>
          <w:tcPr>
            <w:tcW w:type="dxa" w:w="24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Volume</w:t>
            </w:r>
          </w:p>
        </w:tc>
        <w:tc>
          <w:tcPr>
            <w:tcW w:type="dxa" w:w="39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Enterprise Data Universe</w:t>
            </w:r>
          </w:p>
        </w:tc>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~210K data elements</w:t>
            </w:r>
          </w:p>
        </w:tc>
        <w:tc>
          <w:tcPr>
            <w:tcW w:type="dxa" w:w="3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Across MyNavy HR Enterprise; fragmented across systems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Standardized Enterprise Data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~16K unique business terms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Standardized in data lake, structured for enterprise use</w:t>
            </w:r>
          </w:p>
        </w:tc>
      </w:tr>
      <w:tr>
        <w:tc>
          <w:tcPr>
            <w:tcW w:type="dxa" w:w="30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Authoritative Digital Twin Foundation</w:t>
            </w:r>
          </w:p>
        </w:tc>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~5,100 unique business terms</w:t>
            </w:r>
          </w:p>
        </w:tc>
        <w:tc>
          <w:tcPr>
            <w:tcW w:type="dxa" w:w="3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152 SSOT tables, 54 source systems</w:t>
            </w:r>
          </w:p>
        </w:tc>
      </w:tr>
    </w:tbl>
    <w:p>
      <w:pPr>
        <w:spacing w:after="120" w:line="300"/>
      </w:pPr>
      <w:r>
        <w:t xml:space="preserve"/>
      </w:r>
    </w:p>
    <w:p>
      <w:pPr>
        <w:pBdr>
          <w:left w:val="single" w:color="B89B3D" w:sz="18" w:space="12"/>
        </w:pBdr>
        <w:spacing w:after="120" w:before="120" w:line="300"/>
        <w:ind w:left="360" w:right="360"/>
      </w:pPr>
      <w:r>
        <w:rPr>
          <w:i/>
          <w:iCs/>
          <w:color w:val="1A1A1A"/>
        </w:rPr>
        <w:t xml:space="preserve">We are not starting from scratch. We are narrowing fragmented enterprise data to an Authoritative Data Foundation.</w:t>
      </w:r>
    </w:p>
    <w:p>
      <w:pPr>
        <w:pStyle w:val="Heading2"/>
        <w:spacing w:after="180" w:before="360"/>
      </w:pPr>
      <w:r>
        <w:rPr>
          <w:color w:val="1E2761"/>
        </w:rPr>
        <w:t xml:space="preserve">Execution approach</w:t>
      </w:r>
    </w:p>
    <w:p>
      <w:pPr>
        <w:spacing w:after="120" w:line="300"/>
      </w:pPr>
      <w:r>
        <w:t xml:space="preserve">Four-step execution path identified in the briefing:</w:t>
      </w:r>
    </w:p>
    <w:p>
      <w:pPr>
        <w:pStyle w:val="ListParagraph"/>
        <w:numPr>
          <w:ilvl w:val="0"/>
          <w:numId w:val="2"/>
        </w:numPr>
        <w:spacing w:after="60" w:line="280"/>
      </w:pPr>
      <w:r>
        <w:t xml:space="preserve">Step 1: Establish enterprise data foundation by consolidating authoritative personnel data in Jupiter</w:t>
      </w:r>
    </w:p>
    <w:p>
      <w:pPr>
        <w:pStyle w:val="ListParagraph"/>
        <w:numPr>
          <w:ilvl w:val="0"/>
          <w:numId w:val="2"/>
        </w:numPr>
        <w:spacing w:after="60" w:line="280"/>
      </w:pPr>
      <w:r>
        <w:t xml:space="preserve">Step 2: Define the authoritative model by organizing core domains, business rules, and data ownership</w:t>
      </w:r>
    </w:p>
    <w:p>
      <w:pPr>
        <w:pStyle w:val="ListParagraph"/>
        <w:numPr>
          <w:ilvl w:val="0"/>
          <w:numId w:val="2"/>
        </w:numPr>
        <w:spacing w:after="60" w:line="280"/>
      </w:pPr>
      <w:r>
        <w:t xml:space="preserve">Step 3: Expose the data for enterprise use so systems and applications can consume a common digital representation</w:t>
      </w:r>
    </w:p>
    <w:p>
      <w:pPr>
        <w:pStyle w:val="ListParagraph"/>
        <w:numPr>
          <w:ilvl w:val="0"/>
          <w:numId w:val="2"/>
        </w:numPr>
        <w:spacing w:after="60" w:line="280"/>
      </w:pPr>
      <w:r>
        <w:t xml:space="preserve">Step 4: Incrementally integrate and consistently modernize systems over time, rather than wholesale system replacements</w:t>
      </w:r>
    </w:p>
    <w:p>
      <w:pPr>
        <w:pBdr>
          <w:left w:val="single" w:color="B89B3D" w:sz="18" w:space="12"/>
        </w:pBdr>
        <w:spacing w:after="120" w:before="120" w:line="300"/>
        <w:ind w:left="360" w:right="360"/>
      </w:pPr>
      <w:r>
        <w:rPr>
          <w:i/>
          <w:iCs/>
          <w:color w:val="1A1A1A"/>
        </w:rPr>
        <w:t xml:space="preserve">The challenge is not technical — it's alignment and ownership.</w:t>
      </w:r>
    </w:p>
    <w:p>
      <w:pPr>
        <w:pStyle w:val="Heading2"/>
        <w:spacing w:after="180" w:before="360"/>
      </w:pPr>
      <w:r>
        <w:rPr>
          <w:color w:val="1E2761"/>
        </w:rPr>
        <w:t xml:space="preserve">Stakeholders</w:t>
      </w:r>
    </w:p>
    <w:p>
      <w:pPr>
        <w:spacing w:after="120" w:line="300"/>
      </w:pPr>
      <w:r>
        <w:t xml:space="preserve">Digital Twin execution requires coordinated policy, governance, and system alignment across the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Stakeholder</w:t>
            </w:r>
          </w:p>
        </w:tc>
        <w:tc>
          <w:tcPr>
            <w:tcW w:type="dxa" w:w="69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Role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DON CIO</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Enterprise-wide systems architecture; policy governing authoritative data; standards for structure, access, and interoperability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ASN (M&amp;RA)</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Functional sponsor for HC/HR IT Portfolio; develops Jupiter (DON's Advana-based platform)</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CNP / N16</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Enterprise priorities and end state; alignment across stakeholder communities; advocates for authoritative data policy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PMW-240 (PAE)</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Direct control over program offices for technical, contracting, and sustainment functions</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ADE End Users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Leverage enterprise analytics; standardize core data domains; provide operational feedback</w:t>
            </w:r>
          </w:p>
        </w:tc>
      </w:tr>
    </w:tbl>
    <w:p>
      <w:r>
        <w:br w:type="page"/>
      </w:r>
    </w:p>
    <w:p>
      <w:pPr>
        <w:pStyle w:val="Heading1"/>
        <w:spacing w:after="240" w:before="480"/>
      </w:pPr>
      <w:r>
        <w:rPr>
          <w:color w:val="1E2761"/>
        </w:rPr>
        <w:t xml:space="preserve">3. Scenario Design</w:t>
      </w:r>
    </w:p>
    <w:p>
      <w:pPr>
        <w:spacing w:after="120" w:line="300"/>
      </w:pPr>
      <w:r>
        <w:t xml:space="preserve">Five scenarios were identified as candidates for the Digital Twin to power. Two were selected for POC implementation; three more were designed into the data model for future build-out.</w:t>
      </w:r>
    </w:p>
    <w:p>
      <w:pPr>
        <w:pStyle w:val="Heading2"/>
        <w:spacing w:after="180" w:before="360"/>
      </w:pPr>
      <w:r>
        <w:rPr>
          <w:color w:val="1E2761"/>
        </w:rPr>
        <w:t xml:space="preserve">3.1 Retention Risk (POC Primary)</w:t>
      </w:r>
    </w:p>
    <w:p>
      <w:pPr>
        <w:spacing w:after="120" w:line="300"/>
      </w:pPr>
      <w:r>
        <w:t xml:space="preserve">Identify Sailors at risk of leaving the Navy and provide categorized risk profiles with recommended interventions. This is one of the highest-ROI use cases for a Digital Twin because retention loss is expensive (each lost mid-career Sailor represents years of training investment) and the signals are scattered across many systems — exactly the problem the Digital Twin solves.</w:t>
      </w:r>
    </w:p>
    <w:p>
      <w:pPr>
        <w:pStyle w:val="Heading3"/>
        <w:spacing w:after="120" w:before="240"/>
      </w:pPr>
      <w:r>
        <w:rPr>
          <w:color w:val="1E2761"/>
        </w:rPr>
        <w:t xml:space="preserve">Multi-dimensional risk categorization</w:t>
      </w:r>
    </w:p>
    <w:p>
      <w:pPr>
        <w:spacing w:after="120" w:line="300"/>
      </w:pPr>
      <w:r>
        <w:t xml:space="preserve">Rather than a binary risk label, the model categorizes the type of retention risk because each requires a different intervention:</w:t>
      </w:r>
    </w:p>
    <w:p>
      <w:pPr>
        <w:pStyle w:val="ListParagraph"/>
        <w:numPr>
          <w:ilvl w:val="0"/>
          <w:numId w:val="2"/>
        </w:numPr>
        <w:spacing w:after="60" w:line="280"/>
      </w:pPr>
      <w:r>
        <w:rPr>
          <w:b/>
          <w:bCs/>
        </w:rPr>
        <w:t xml:space="preserve">Career stagnation: </w:t>
      </w:r>
      <w:r>
        <w:t xml:space="preserve">promotion velocity below peers, no recent qualifications, declining FITREPs</w:t>
      </w:r>
    </w:p>
    <w:p>
      <w:pPr>
        <w:pStyle w:val="ListParagraph"/>
        <w:numPr>
          <w:ilvl w:val="0"/>
          <w:numId w:val="2"/>
        </w:numPr>
        <w:spacing w:after="60" w:line="280"/>
      </w:pPr>
      <w:r>
        <w:rPr>
          <w:b/>
          <w:bCs/>
        </w:rPr>
        <w:t xml:space="preserve">Quality of life: </w:t>
      </w:r>
      <w:r>
        <w:t xml:space="preserve">back-to-back sea tours, geographic instability, family separation patterns, dependent care complexity</w:t>
      </w:r>
    </w:p>
    <w:p>
      <w:pPr>
        <w:pStyle w:val="ListParagraph"/>
        <w:numPr>
          <w:ilvl w:val="0"/>
          <w:numId w:val="2"/>
        </w:numPr>
        <w:spacing w:after="60" w:line="280"/>
      </w:pPr>
      <w:r>
        <w:rPr>
          <w:b/>
          <w:bCs/>
        </w:rPr>
        <w:t xml:space="preserve">Compensation: </w:t>
      </w:r>
      <w:r>
        <w:t xml:space="preserve">pay grade vs. civilian market for their NEC, expiring SRB eligibility windows</w:t>
      </w:r>
    </w:p>
    <w:p>
      <w:pPr>
        <w:pStyle w:val="ListParagraph"/>
        <w:numPr>
          <w:ilvl w:val="0"/>
          <w:numId w:val="2"/>
        </w:numPr>
        <w:spacing w:after="60" w:line="280"/>
      </w:pPr>
      <w:r>
        <w:rPr>
          <w:b/>
          <w:bCs/>
        </w:rPr>
        <w:t xml:space="preserve">Engagement: </w:t>
      </w:r>
      <w:r>
        <w:t xml:space="preserve">declining performance trends, command climate signals, EAOS approaching with no re-enlistment conversation logged</w:t>
      </w:r>
    </w:p>
    <w:p>
      <w:pPr>
        <w:pStyle w:val="ListParagraph"/>
        <w:numPr>
          <w:ilvl w:val="0"/>
          <w:numId w:val="2"/>
        </w:numPr>
        <w:spacing w:after="60" w:line="280"/>
      </w:pPr>
      <w:r>
        <w:rPr>
          <w:b/>
          <w:bCs/>
        </w:rPr>
        <w:t xml:space="preserve">Mission fit: </w:t>
      </w:r>
      <w:r>
        <w:t xml:space="preserve">assigned outside preferred community/NEC, repeated detailing mismatches</w:t>
      </w:r>
    </w:p>
    <w:p>
      <w:pPr>
        <w:pStyle w:val="Heading3"/>
        <w:spacing w:after="120" w:before="240"/>
      </w:pPr>
      <w:r>
        <w:rPr>
          <w:color w:val="1E2761"/>
        </w:rPr>
        <w:t xml:space="preserve">Key design properties</w:t>
      </w:r>
    </w:p>
    <w:p>
      <w:pPr>
        <w:pStyle w:val="ListParagraph"/>
        <w:numPr>
          <w:ilvl w:val="0"/>
          <w:numId w:val="2"/>
        </w:numPr>
        <w:spacing w:after="60" w:line="280"/>
      </w:pPr>
      <w:r>
        <w:rPr>
          <w:b/>
          <w:bCs/>
        </w:rPr>
        <w:t xml:space="preserve">Predict the intervention window: </w:t>
      </w:r>
      <w:r>
        <w:t xml:space="preserve">a Sailor 18 months from EAOS is a different problem than one 4 months out — flag the optimal moment for command intervention</w:t>
      </w:r>
    </w:p>
    <w:p>
      <w:pPr>
        <w:pStyle w:val="ListParagraph"/>
        <w:numPr>
          <w:ilvl w:val="0"/>
          <w:numId w:val="2"/>
        </w:numPr>
        <w:spacing w:after="60" w:line="280"/>
      </w:pPr>
      <w:r>
        <w:rPr>
          <w:b/>
          <w:bCs/>
        </w:rPr>
        <w:t xml:space="preserve">Make it actionable: </w:t>
      </w:r>
      <w:r>
        <w:t xml:space="preserve">each risk Sailor surfaces with a recommended action tied to actual programs</w:t>
      </w:r>
    </w:p>
    <w:p>
      <w:pPr>
        <w:pStyle w:val="ListParagraph"/>
        <w:numPr>
          <w:ilvl w:val="0"/>
          <w:numId w:val="2"/>
        </w:numPr>
        <w:spacing w:after="60" w:line="280"/>
      </w:pPr>
      <w:r>
        <w:rPr>
          <w:b/>
          <w:bCs/>
        </w:rPr>
        <w:t xml:space="preserve">Critical Sailor weighting: </w:t>
      </w:r>
      <w:r>
        <w:t xml:space="preserve">a nuclear-trained MM1 or a cyber-rated CTN at the 8-year mark is mission-critical in ways the model reflects</w:t>
      </w:r>
    </w:p>
    <w:p>
      <w:pPr>
        <w:pStyle w:val="Heading2"/>
        <w:spacing w:after="180" w:before="360"/>
      </w:pPr>
      <w:r>
        <w:rPr>
          <w:color w:val="1E2761"/>
        </w:rPr>
        <w:t xml:space="preserve">3.2 Promotion Readiness (POC Secondary)</w:t>
      </w:r>
    </w:p>
    <w:p>
      <w:pPr>
        <w:spacing w:after="120" w:line="300"/>
      </w:pPr>
      <w:r>
        <w:t xml:space="preserve">Identify advancement-ready Sailors and surface specific, actionable gaps blocking those who aren't. Directly addresses the "career black box" pain point identified in the original briefing.</w:t>
      </w:r>
    </w:p>
    <w:p>
      <w:pPr>
        <w:pStyle w:val="Heading3"/>
        <w:spacing w:after="120" w:before="240"/>
      </w:pPr>
      <w:r>
        <w:rPr>
          <w:color w:val="1E2761"/>
        </w:rPr>
        <w:t xml:space="preserve">Two distinct user views</w:t>
      </w:r>
    </w:p>
    <w:p>
      <w:pPr>
        <w:pStyle w:val="ListParagraph"/>
        <w:numPr>
          <w:ilvl w:val="0"/>
          <w:numId w:val="2"/>
        </w:numPr>
        <w:spacing w:after="60" w:line="280"/>
      </w:pPr>
      <w:r>
        <w:rPr>
          <w:b/>
          <w:bCs/>
        </w:rPr>
        <w:t xml:space="preserve">Sailor view: </w:t>
      </w:r>
      <w:r>
        <w:t xml:space="preserve">Here's exactly what you need to do, in priority order, to be competitive for E-7 in the next cycle</w:t>
      </w:r>
    </w:p>
    <w:p>
      <w:pPr>
        <w:pStyle w:val="ListParagraph"/>
        <w:numPr>
          <w:ilvl w:val="0"/>
          <w:numId w:val="2"/>
        </w:numPr>
        <w:spacing w:after="60" w:line="280"/>
      </w:pPr>
      <w:r>
        <w:rPr>
          <w:b/>
          <w:bCs/>
        </w:rPr>
        <w:t xml:space="preserve">Command/Detailer view: </w:t>
      </w:r>
      <w:r>
        <w:t xml:space="preserve">Here are your top advancement-ready Sailors and what's blocking each one</w:t>
      </w:r>
    </w:p>
    <w:p>
      <w:pPr>
        <w:pStyle w:val="Heading3"/>
        <w:spacing w:after="120" w:before="240"/>
      </w:pPr>
      <w:r>
        <w:rPr>
          <w:color w:val="1E2761"/>
        </w:rPr>
        <w:t xml:space="preserve">Key design properties</w:t>
      </w:r>
    </w:p>
    <w:p>
      <w:pPr>
        <w:pStyle w:val="ListParagraph"/>
        <w:numPr>
          <w:ilvl w:val="0"/>
          <w:numId w:val="2"/>
        </w:numPr>
        <w:spacing w:after="60" w:line="280"/>
      </w:pPr>
      <w:r>
        <w:rPr>
          <w:b/>
          <w:bCs/>
        </w:rPr>
        <w:t xml:space="preserve">Gap analysis with concrete remediation: </w:t>
      </w:r>
      <w:r>
        <w:t xml:space="preserve">not just "missing PQS" but "missing 314.7 Engineering PQS, available at this command via this qualifier, estimated 6 weeks"</w:t>
      </w:r>
    </w:p>
    <w:p>
      <w:pPr>
        <w:pStyle w:val="ListParagraph"/>
        <w:numPr>
          <w:ilvl w:val="0"/>
          <w:numId w:val="2"/>
        </w:numPr>
        <w:spacing w:after="60" w:line="280"/>
      </w:pPr>
      <w:r>
        <w:rPr>
          <w:b/>
          <w:bCs/>
        </w:rPr>
        <w:t xml:space="preserve">Forecast competitiveness, not just eligibility: </w:t>
      </w:r>
      <w:r>
        <w:t xml:space="preserve">eligibility is binary; competitiveness is comparative — show Sailors their percentile within their peer cohort</w:t>
      </w:r>
    </w:p>
    <w:p>
      <w:pPr>
        <w:pStyle w:val="ListParagraph"/>
        <w:numPr>
          <w:ilvl w:val="0"/>
          <w:numId w:val="2"/>
        </w:numPr>
        <w:spacing w:after="60" w:line="280"/>
      </w:pPr>
      <w:r>
        <w:rPr>
          <w:b/>
          <w:bCs/>
        </w:rPr>
        <w:t xml:space="preserve">Time-to-readiness modeling: </w:t>
      </w:r>
      <w:r>
        <w:t xml:space="preserve">if Sailor completes X, Y, Z in this order, they'll be competitive for the FY27 board</w:t>
      </w:r>
    </w:p>
    <w:p>
      <w:pPr>
        <w:pStyle w:val="Heading2"/>
        <w:spacing w:after="180" w:before="360"/>
      </w:pPr>
      <w:r>
        <w:rPr>
          <w:color w:val="1E2761"/>
        </w:rPr>
        <w:t xml:space="preserve">3.3 Additional scenarios designed into the model</w:t>
      </w:r>
    </w:p>
    <w:p>
      <w:pPr>
        <w:pStyle w:val="Heading3"/>
        <w:spacing w:after="120" w:before="240"/>
      </w:pPr>
      <w:r>
        <w:rPr>
          <w:color w:val="1E2761"/>
        </w:rPr>
        <w:t xml:space="preserve">Detailing Optimization / Billet-Sailor Match</w:t>
      </w:r>
    </w:p>
    <w:p>
      <w:pPr>
        <w:spacing w:after="120" w:line="300"/>
      </w:pPr>
      <w:r>
        <w:t xml:space="preserve">Match Sailors to billets considering NEC, family situation, career timing, geographic preference history, and command needs simultaneously. This is the use case where the Digital Twin pays for itself fastest because detailing decisions today are made with incomplete information. Directly addresses the Slide 7 scenario about "home growing" Sailors to fill critical NEC gaps.</w:t>
      </w:r>
    </w:p>
    <w:p>
      <w:pPr>
        <w:pStyle w:val="Heading3"/>
        <w:spacing w:after="120" w:before="240"/>
      </w:pPr>
      <w:r>
        <w:rPr>
          <w:color w:val="1E2761"/>
        </w:rPr>
        <w:t xml:space="preserve">Medical Readiness Trajectory</w:t>
      </w:r>
    </w:p>
    <w:p>
      <w:pPr>
        <w:spacing w:after="120" w:line="300"/>
      </w:pPr>
      <w:r>
        <w:t xml:space="preserve">Predict which Sailors will go non-deployable in the next 6-12 months based on PHA trends, dental class drift, and periodicity of medical readiness items. Allows commands to intervene before deployability becomes a crisis.</w:t>
      </w:r>
    </w:p>
    <w:p>
      <w:pPr>
        <w:pStyle w:val="Heading3"/>
        <w:spacing w:after="120" w:before="240"/>
      </w:pPr>
      <w:r>
        <w:rPr>
          <w:color w:val="1E2761"/>
        </w:rPr>
        <w:t xml:space="preserve">Accession-to-First-Tour Success</w:t>
      </w:r>
    </w:p>
    <w:p>
      <w:pPr>
        <w:spacing w:after="120" w:line="300"/>
      </w:pPr>
      <w:r>
        <w:t xml:space="preserve">Connect recruiting data → A-school performance → C-school → first command performance. Identifies which accession profiles succeed in which ratings, informing both recruiting strategy and initial detailing.</w:t>
      </w:r>
    </w:p>
    <w:p>
      <w:r>
        <w:br w:type="page"/>
      </w:r>
    </w:p>
    <w:p>
      <w:pPr>
        <w:pStyle w:val="Heading1"/>
        <w:spacing w:after="240" w:before="480"/>
      </w:pPr>
      <w:r>
        <w:rPr>
          <w:color w:val="1E2761"/>
        </w:rPr>
        <w:t xml:space="preserve">4. Data Model and Domain Architecture</w:t>
      </w:r>
    </w:p>
    <w:p>
      <w:pPr>
        <w:pStyle w:val="Heading2"/>
        <w:spacing w:after="180" w:before="360"/>
      </w:pPr>
      <w:r>
        <w:rPr>
          <w:color w:val="1E2761"/>
        </w:rPr>
        <w:t xml:space="preserve">4.1 Architectural principles</w:t>
      </w:r>
    </w:p>
    <w:p>
      <w:pPr>
        <w:spacing w:after="120" w:line="300"/>
      </w:pPr>
      <w:r>
        <w:t xml:space="preserve">Five non-negotiable principles drawn from the Digital Twin vision:</w:t>
      </w:r>
    </w:p>
    <w:p>
      <w:pPr>
        <w:spacing w:after="120" w:line="300"/>
      </w:pPr>
      <w:r>
        <w:rPr>
          <w:b/>
          <w:bCs/>
        </w:rPr>
        <w:t xml:space="preserve">1. One Sailor, one identity. </w:t>
      </w:r>
      <w:r>
        <w:t xml:space="preserve">Every Sailor has exactly one record in the authoritative sailor entity, keyed by DoD ID. Every other piece of data in every domain joins back to this single key.</w:t>
      </w:r>
    </w:p>
    <w:p>
      <w:pPr>
        <w:spacing w:after="120" w:line="300"/>
      </w:pPr>
      <w:r>
        <w:rPr>
          <w:b/>
          <w:bCs/>
        </w:rPr>
        <w:t xml:space="preserve">2. Federation, not replication. </w:t>
      </w:r>
      <w:r>
        <w:t xml:space="preserve">The Digital Twin does not own the data; it federates across the source systems of record. NSIPS still owns personnel data, TFMMS still owns billets, etc.</w:t>
      </w:r>
    </w:p>
    <w:p>
      <w:pPr>
        <w:spacing w:after="120" w:line="300"/>
      </w:pPr>
      <w:r>
        <w:rPr>
          <w:b/>
          <w:bCs/>
        </w:rPr>
        <w:t xml:space="preserve">3. Event-driven by design. </w:t>
      </w:r>
      <w:r>
        <w:t xml:space="preserve">Every meaningful change in any domain produces a row in personnel_event. State at any point in time can be reconstructed from the event stream.</w:t>
      </w:r>
    </w:p>
    <w:p>
      <w:pPr>
        <w:spacing w:after="120" w:line="300"/>
      </w:pPr>
      <w:r>
        <w:rPr>
          <w:b/>
          <w:bCs/>
        </w:rPr>
        <w:t xml:space="preserve">4. Identity is current state; history lives in child tables. </w:t>
      </w:r>
      <w:r>
        <w:t xml:space="preserve">The sailor entity holds what is true now. All historical data lives in child tables with a foreign key back to Sailor.</w:t>
      </w:r>
    </w:p>
    <w:p>
      <w:pPr>
        <w:spacing w:after="120" w:line="300"/>
      </w:pPr>
      <w:r>
        <w:rPr>
          <w:b/>
          <w:bCs/>
        </w:rPr>
        <w:t xml:space="preserve">5. Schema mirrors source systems. </w:t>
      </w:r>
      <w:r>
        <w:t xml:space="preserve">Field names, value sets, and semantics deliberately echo NSIPS, TFMMS, NTMPS, MRRS, and DJMS so production migration is configuration, not re-architecture.</w:t>
      </w:r>
    </w:p>
    <w:p>
      <w:pPr>
        <w:pStyle w:val="Heading2"/>
        <w:spacing w:after="180" w:before="360"/>
      </w:pPr>
      <w:r>
        <w:rPr>
          <w:color w:val="1E2761"/>
        </w:rPr>
        <w:t xml:space="preserve">4.2 The seven core domains</w:t>
      </w:r>
    </w:p>
    <w:p>
      <w:pPr>
        <w:spacing w:after="120" w:line="300"/>
      </w:pPr>
      <w:r>
        <w:t xml:space="preserve">Each domain has a primary system of record in production, an entity (or set of entities) in the data model, and a defined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2640"/>
      </w:tblGrid>
      <w:tr>
        <w:trPr>
          <w:tblHeader/>
        </w:trPr>
        <w:tc>
          <w:tcPr>
            <w:tcW w:type="dxa" w:w="33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Domain</w:t>
            </w:r>
          </w:p>
        </w:tc>
        <w:tc>
          <w:tcPr>
            <w:tcW w:type="dxa" w:w="33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Primary Source System</w:t>
            </w:r>
          </w:p>
        </w:tc>
        <w:tc>
          <w:tcPr>
            <w:tcW w:type="dxa" w:w="26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Update Cadence</w:t>
            </w:r>
          </w:p>
        </w:tc>
      </w:tr>
      <w:tr>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Personnel (identity, history)</w:t>
            </w:r>
          </w:p>
        </w:tc>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NSIPS</w:t>
            </w:r>
          </w:p>
        </w:tc>
        <w:tc>
          <w:tcPr>
            <w:tcW w:type="dxa" w:w="26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Near-real-time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Personnel (FITREPs)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NSIPS BUPERS Online</w:t>
            </w:r>
          </w:p>
        </w:tc>
        <w:tc>
          <w:tcPr>
            <w:tcW w:type="dxa" w:w="2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Per evaluation cycle</w:t>
            </w:r>
          </w:p>
        </w:tc>
      </w:tr>
      <w:tr>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Manpower (billets)</w:t>
            </w:r>
          </w:p>
        </w:tc>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TFMMS</w:t>
            </w:r>
          </w:p>
        </w:tc>
        <w:tc>
          <w:tcPr>
            <w:tcW w:type="dxa" w:w="26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Monthly</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Manpower (assignments)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NSIPS / MAPP</w:t>
            </w:r>
          </w:p>
        </w:tc>
        <w:tc>
          <w:tcPr>
            <w:tcW w:type="dxa" w:w="2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Real-time at PCS</w:t>
            </w:r>
          </w:p>
        </w:tc>
      </w:tr>
      <w:tr>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Training (NECs, quals)</w:t>
            </w:r>
          </w:p>
        </w:tc>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NTMPS / FLTMPS / CeTARS</w:t>
            </w:r>
          </w:p>
        </w:tc>
        <w:tc>
          <w:tcPr>
            <w:tcW w:type="dxa" w:w="26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Daily batch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Pay (entitlements, SRB)</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DJMS / DFAS</w:t>
            </w:r>
          </w:p>
        </w:tc>
        <w:tc>
          <w:tcPr>
            <w:tcW w:type="dxa" w:w="2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Bi-weekly</w:t>
            </w:r>
          </w:p>
        </w:tc>
      </w:tr>
      <w:tr>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Medical Readiness</w:t>
            </w:r>
          </w:p>
        </w:tc>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MRRS / BUMED</w:t>
            </w:r>
          </w:p>
        </w:tc>
        <w:tc>
          <w:tcPr>
            <w:tcW w:type="dxa" w:w="26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Daily</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Education</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Navy College / NPDB</w:t>
            </w:r>
          </w:p>
        </w:tc>
        <w:tc>
          <w:tcPr>
            <w:tcW w:type="dxa" w:w="2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Quarterly</w:t>
            </w:r>
          </w:p>
        </w:tc>
      </w:tr>
      <w:tr>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Recruiting / Accession</w:t>
            </w:r>
          </w:p>
        </w:tc>
        <w:tc>
          <w:tcPr>
            <w:tcW w:type="dxa" w:w="33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CIRIMS / PRIDE</w:t>
            </w:r>
          </w:p>
        </w:tc>
        <w:tc>
          <w:tcPr>
            <w:tcW w:type="dxa" w:w="26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At accession</w:t>
            </w:r>
          </w:p>
        </w:tc>
      </w:tr>
    </w:tbl>
    <w:p>
      <w:pPr>
        <w:pStyle w:val="Heading2"/>
        <w:spacing w:after="180" w:before="360"/>
      </w:pPr>
      <w:r>
        <w:rPr>
          <w:color w:val="1E2761"/>
        </w:rPr>
        <w:t xml:space="preserve">4.3 Cross-cutting: the personnel event stream</w:t>
      </w:r>
    </w:p>
    <w:p>
      <w:pPr>
        <w:spacing w:after="120" w:line="300"/>
      </w:pPr>
      <w:r>
        <w:t xml:space="preserve">The personnel_event table is the spine of the event-driven architecture. It is not a domain in itself; it is a cross-cutting audit and orchestration layer. Every meaningful change in any domain produces an event row containing the DoD ID of the affected Sailor, an event type, a timestamp, the source system, and a JSON payload with event-specific details.</w:t>
      </w:r>
    </w:p>
    <w:p>
      <w:pPr>
        <w:spacing w:after="120" w:line="300"/>
      </w:pPr>
      <w:r>
        <w:t xml:space="preserve">This is what makes the twin auditable. State at any historical point can be reconstructed by replaying events. In production, this layer is fed by Jupiter's orchestration capability and the HR Data Exchange shown in the THETIS Vision diagram.</w:t>
      </w:r>
    </w:p>
    <w:p>
      <w:pPr>
        <w:pStyle w:val="Heading2"/>
        <w:spacing w:after="180" w:before="360"/>
      </w:pPr>
      <w:r>
        <w:rPr>
          <w:color w:val="1E2761"/>
        </w:rPr>
        <w:t xml:space="preserve">4.4 Critical design decisions</w:t>
      </w:r>
    </w:p>
    <w:p>
      <w:pPr>
        <w:pStyle w:val="Heading3"/>
        <w:spacing w:after="120" w:before="240"/>
      </w:pPr>
      <w:r>
        <w:rPr>
          <w:color w:val="1E2761"/>
        </w:rPr>
        <w:t xml:space="preserve">Billet vs. Assignment separation</w:t>
      </w:r>
    </w:p>
    <w:p>
      <w:pPr>
        <w:spacing w:after="120" w:line="300"/>
      </w:pPr>
      <w:r>
        <w:t xml:space="preserve">Billet and Assignment are separate entities. A billet is a slot that needs to be filled (e.g., MM1 with NEC 3354 on USS Bainbridge). An assignment is a Sailor filling that billet for a specific period. Same billet → many assignments over time; same Sailor → many assignments through career. Mixing these is one of the most common modeling mistakes in HR systems and breaks downstream analytics.</w:t>
      </w:r>
    </w:p>
    <w:p>
      <w:pPr>
        <w:pStyle w:val="Heading3"/>
        <w:spacing w:after="120" w:before="240"/>
      </w:pPr>
      <w:r>
        <w:rPr>
          <w:color w:val="1E2761"/>
        </w:rPr>
        <w:t xml:space="preserve">Feature-layer reuse across scenarios</w:t>
      </w:r>
    </w:p>
    <w:p>
      <w:pPr>
        <w:spacing w:after="120" w:line="300"/>
      </w:pPr>
      <w:r>
        <w:t xml:space="preserve">The same features computed for one scenario become inputs to others. This is why investing in the data model first pays dividends: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96"/>
        <w:gridCol w:w="1296"/>
        <w:gridCol w:w="1296"/>
        <w:gridCol w:w="1296"/>
        <w:gridCol w:w="1296"/>
      </w:tblGrid>
      <w:tr>
        <w:trPr>
          <w:tblHeader/>
        </w:trPr>
        <w:tc>
          <w:tcPr>
            <w:tcW w:type="dxa" w:w="288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Feature</w:t>
            </w:r>
          </w:p>
        </w:tc>
        <w:tc>
          <w:tcPr>
            <w:tcW w:type="dxa" w:w="1296"/>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Retention</w:t>
            </w:r>
          </w:p>
        </w:tc>
        <w:tc>
          <w:tcPr>
            <w:tcW w:type="dxa" w:w="1296"/>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Promotion</w:t>
            </w:r>
          </w:p>
        </w:tc>
        <w:tc>
          <w:tcPr>
            <w:tcW w:type="dxa" w:w="1296"/>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Detailing</w:t>
            </w:r>
          </w:p>
        </w:tc>
        <w:tc>
          <w:tcPr>
            <w:tcW w:type="dxa" w:w="1296"/>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Medical</w:t>
            </w:r>
          </w:p>
        </w:tc>
        <w:tc>
          <w:tcPr>
            <w:tcW w:type="dxa" w:w="1296"/>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Accession</w:t>
            </w:r>
          </w:p>
        </w:tc>
      </w:tr>
      <w:tr>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Time-in-rate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r>
      <w:t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FITREP history</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r>
      <w:tr>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NEC currency</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r>
      <w:t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Sea/shore tour history</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r>
      <w:tr>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Medical deployability</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r>
      <w:t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Family / EFM</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r>
      <w:tr>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ASVAB scores</w:t>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w:t>
            </w:r>
          </w:p>
        </w:tc>
      </w:tr>
      <w:t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Peer cohort comparison</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
            </w:r>
          </w:p>
        </w:tc>
        <w:tc>
          <w:tcPr>
            <w:tcW w:type="dxa" w:w="129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w:t>
            </w:r>
          </w:p>
        </w:tc>
      </w:tr>
    </w:tbl>
    <w:p>
      <w:r>
        <w:br w:type="page"/>
      </w:r>
    </w:p>
    <w:p>
      <w:pPr>
        <w:pStyle w:val="Heading1"/>
        <w:spacing w:after="240" w:before="480"/>
      </w:pPr>
      <w:r>
        <w:rPr>
          <w:color w:val="1E2761"/>
        </w:rPr>
        <w:t xml:space="preserve">5. POC Implementation</w:t>
      </w:r>
    </w:p>
    <w:p>
      <w:pPr>
        <w:pStyle w:val="Heading2"/>
        <w:spacing w:after="180" w:before="360"/>
      </w:pPr>
      <w:r>
        <w:rPr>
          <w:color w:val="1E2761"/>
        </w:rPr>
        <w:t xml:space="preserve">5.1 Scope and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Decision</w:t>
            </w:r>
          </w:p>
        </w:tc>
        <w:tc>
          <w:tcPr>
            <w:tcW w:type="dxa" w:w="288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Choice</w:t>
            </w:r>
          </w:p>
        </w:tc>
        <w:tc>
          <w:tcPr>
            <w:tcW w:type="dxa" w:w="408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Rationale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Population</w:t>
            </w:r>
          </w:p>
        </w:tc>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Active Duty Enlisted only</w:t>
            </w:r>
          </w:p>
        </w:tc>
        <w:tc>
          <w:tcPr>
            <w:tcW w:type="dxa" w:w="40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Cleanest data, largest single population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Environment</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Laptop-based with synthetic data</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 PII; portable for leadership demo</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Database</w:t>
            </w:r>
          </w:p>
        </w:tc>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SQLite</w:t>
            </w:r>
          </w:p>
        </w:tc>
        <w:tc>
          <w:tcPr>
            <w:tcW w:type="dxa" w:w="40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Single file, no server, fully portable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Backend language</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Python</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Native support for SQLite, pandas, ML libraries</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Dataset size</w:t>
            </w:r>
          </w:p>
        </w:tc>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5,000 Sailors</w:t>
            </w:r>
          </w:p>
        </w:tc>
        <w:tc>
          <w:tcPr>
            <w:tcW w:type="dxa" w:w="40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Fast iteration; full pipeline runs in seconds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UI framework</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Streamlit</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Python-native, fastest to build, no separate frontend</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Scoring approach</w:t>
            </w:r>
          </w:p>
        </w:tc>
        <w:tc>
          <w:tcPr>
            <w:tcW w:type="dxa" w:w="28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Rule-based (POC)</w:t>
            </w:r>
          </w:p>
        </w:tc>
        <w:tc>
          <w:tcPr>
            <w:tcW w:type="dxa" w:w="40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Transparent, auditable, demoable; ML in production</w:t>
            </w:r>
          </w:p>
        </w:tc>
      </w:tr>
    </w:tbl>
    <w:p>
      <w:pPr>
        <w:pStyle w:val="Heading2"/>
        <w:spacing w:after="180" w:before="360"/>
      </w:pPr>
      <w:r>
        <w:rPr>
          <w:color w:val="1E2761"/>
        </w:rPr>
        <w:t xml:space="preserve">5.2 Project structure</w:t>
      </w:r>
    </w:p>
    <w:p>
      <w:pPr>
        <w:shd w:fill="F4F4F4" w:val="clear"/>
        <w:spacing w:after="0" w:line="260"/>
        <w:ind w:left="240"/>
      </w:pPr>
      <w:r>
        <w:rPr>
          <w:rFonts w:ascii="Consolas" w:cs="Consolas" w:eastAsia="Consolas" w:hAnsi="Consolas"/>
          <w:sz w:val="18"/>
          <w:szCs w:val="18"/>
        </w:rPr>
        <w:t xml:space="preserve">navy_digital_twin/</w:t>
      </w:r>
    </w:p>
    <w:p>
      <w:pPr>
        <w:shd w:fill="F4F4F4" w:val="clear"/>
        <w:spacing w:after="0" w:line="260"/>
        <w:ind w:left="240"/>
      </w:pPr>
      <w:r>
        <w:rPr>
          <w:rFonts w:ascii="Consolas" w:cs="Consolas" w:eastAsia="Consolas" w:hAnsi="Consolas"/>
          <w:sz w:val="18"/>
          <w:szCs w:val="18"/>
        </w:rPr>
        <w:t xml:space="preserve">├── README.md</w:t>
      </w:r>
    </w:p>
    <w:p>
      <w:pPr>
        <w:shd w:fill="F4F4F4" w:val="clear"/>
        <w:spacing w:after="0" w:line="260"/>
        <w:ind w:left="240"/>
      </w:pPr>
      <w:r>
        <w:rPr>
          <w:rFonts w:ascii="Consolas" w:cs="Consolas" w:eastAsia="Consolas" w:hAnsi="Consolas"/>
          <w:sz w:val="18"/>
          <w:szCs w:val="18"/>
        </w:rPr>
        <w:t xml:space="preserve">├── requirements.txt</w:t>
      </w:r>
    </w:p>
    <w:p>
      <w:pPr>
        <w:shd w:fill="F4F4F4" w:val="clear"/>
        <w:spacing w:after="0" w:line="260"/>
        <w:ind w:left="240"/>
      </w:pPr>
      <w:r>
        <w:rPr>
          <w:rFonts w:ascii="Consolas" w:cs="Consolas" w:eastAsia="Consolas" w:hAnsi="Consolas"/>
          <w:sz w:val="18"/>
          <w:szCs w:val="18"/>
        </w:rPr>
        <w:t xml:space="preserve">├── src/</w:t>
      </w:r>
    </w:p>
    <w:p>
      <w:pPr>
        <w:shd w:fill="F4F4F4" w:val="clear"/>
        <w:spacing w:after="0" w:line="260"/>
        <w:ind w:left="240"/>
      </w:pPr>
      <w:r>
        <w:rPr>
          <w:rFonts w:ascii="Consolas" w:cs="Consolas" w:eastAsia="Consolas" w:hAnsi="Consolas"/>
          <w:sz w:val="18"/>
          <w:szCs w:val="18"/>
        </w:rPr>
        <w:t xml:space="preserve">│   ├── schema.sql          # SQLite DDL — the 7 domains + views</w:t>
      </w:r>
    </w:p>
    <w:p>
      <w:pPr>
        <w:shd w:fill="F4F4F4" w:val="clear"/>
        <w:spacing w:after="0" w:line="260"/>
        <w:ind w:left="240"/>
      </w:pPr>
      <w:r>
        <w:rPr>
          <w:rFonts w:ascii="Consolas" w:cs="Consolas" w:eastAsia="Consolas" w:hAnsi="Consolas"/>
          <w:sz w:val="18"/>
          <w:szCs w:val="18"/>
        </w:rPr>
        <w:t xml:space="preserve">│   ├── generate_data.py    # Synthetic data generator</w:t>
      </w:r>
    </w:p>
    <w:p>
      <w:pPr>
        <w:shd w:fill="F4F4F4" w:val="clear"/>
        <w:spacing w:after="0" w:line="260"/>
        <w:ind w:left="240"/>
      </w:pPr>
      <w:r>
        <w:rPr>
          <w:rFonts w:ascii="Consolas" w:cs="Consolas" w:eastAsia="Consolas" w:hAnsi="Consolas"/>
          <w:sz w:val="18"/>
          <w:szCs w:val="18"/>
        </w:rPr>
        <w:t xml:space="preserve">│   └── app.py              # Streamlit dashboard</w:t>
      </w:r>
    </w:p>
    <w:p>
      <w:pPr>
        <w:shd w:fill="F4F4F4" w:val="clear"/>
        <w:spacing w:after="0" w:line="260"/>
        <w:ind w:left="240"/>
      </w:pPr>
      <w:r>
        <w:rPr>
          <w:rFonts w:ascii="Consolas" w:cs="Consolas" w:eastAsia="Consolas" w:hAnsi="Consolas"/>
          <w:sz w:val="18"/>
          <w:szCs w:val="18"/>
        </w:rPr>
        <w:t xml:space="preserve">├── data/</w:t>
      </w:r>
    </w:p>
    <w:p>
      <w:pPr>
        <w:shd w:fill="F4F4F4" w:val="clear"/>
        <w:spacing w:after="0" w:line="260"/>
        <w:ind w:left="240"/>
      </w:pPr>
      <w:r>
        <w:rPr>
          <w:rFonts w:ascii="Consolas" w:cs="Consolas" w:eastAsia="Consolas" w:hAnsi="Consolas"/>
          <w:sz w:val="18"/>
          <w:szCs w:val="18"/>
        </w:rPr>
        <w:t xml:space="preserve">│   └── navy_dt.db          # Generated SQLite database</w:t>
      </w:r>
    </w:p>
    <w:p>
      <w:pPr>
        <w:shd w:fill="F4F4F4" w:val="clear"/>
        <w:spacing w:after="0" w:line="260"/>
        <w:ind w:left="240"/>
      </w:pPr>
      <w:r>
        <w:rPr>
          <w:rFonts w:ascii="Consolas" w:cs="Consolas" w:eastAsia="Consolas" w:hAnsi="Consolas"/>
          <w:sz w:val="18"/>
          <w:szCs w:val="18"/>
        </w:rPr>
        <w:t xml:space="preserve">└── docs/</w:t>
      </w:r>
    </w:p>
    <w:p>
      <w:pPr>
        <w:shd w:fill="F4F4F4" w:val="clear"/>
        <w:spacing w:after="120" w:line="260"/>
        <w:ind w:left="240"/>
      </w:pPr>
      <w:r>
        <w:rPr>
          <w:rFonts w:ascii="Consolas" w:cs="Consolas" w:eastAsia="Consolas" w:hAnsi="Consolas"/>
          <w:sz w:val="18"/>
          <w:szCs w:val="18"/>
        </w:rPr>
        <w:t xml:space="preserve">    └── data_model.md       # Domain architecture design doc</w:t>
      </w:r>
    </w:p>
    <w:p>
      <w:pPr>
        <w:pStyle w:val="Heading2"/>
        <w:spacing w:after="180" w:before="360"/>
      </w:pPr>
      <w:r>
        <w:rPr>
          <w:color w:val="1E2761"/>
        </w:rPr>
        <w:t xml:space="preserve">5.3 Quickstart</w:t>
      </w:r>
    </w:p>
    <w:p>
      <w:pPr>
        <w:shd w:fill="F4F4F4" w:val="clear"/>
        <w:spacing w:after="0" w:line="260"/>
        <w:ind w:left="240"/>
      </w:pPr>
      <w:r>
        <w:rPr>
          <w:rFonts w:ascii="Consolas" w:cs="Consolas" w:eastAsia="Consolas" w:hAnsi="Consolas"/>
          <w:sz w:val="18"/>
          <w:szCs w:val="18"/>
        </w:rPr>
        <w:t xml:space="preserve"># Install dependencies</w:t>
      </w:r>
    </w:p>
    <w:p>
      <w:pPr>
        <w:shd w:fill="F4F4F4" w:val="clear"/>
        <w:spacing w:after="0" w:line="260"/>
        <w:ind w:left="240"/>
      </w:pPr>
      <w:r>
        <w:rPr>
          <w:rFonts w:ascii="Consolas" w:cs="Consolas" w:eastAsia="Consolas" w:hAnsi="Consolas"/>
          <w:sz w:val="18"/>
          <w:szCs w:val="18"/>
        </w:rPr>
        <w:t xml:space="preserve">pip install -r requirements.txt</w:t>
      </w:r>
    </w:p>
    <w:p>
      <w:pPr>
        <w:shd w:fill="F4F4F4" w:val="clear"/>
        <w:spacing w:after="0" w:line="260"/>
        <w:ind w:left="240"/>
      </w:pPr>
      <w:r>
        <w:rPr>
          <w:rFonts w:ascii="Consolas" w:cs="Consolas" w:eastAsia="Consolas" w:hAnsi="Consolas"/>
          <w:sz w:val="18"/>
          <w:szCs w:val="18"/>
        </w:rPr>
        <w:t xml:space="preserve"/>
      </w:r>
    </w:p>
    <w:p>
      <w:pPr>
        <w:shd w:fill="F4F4F4" w:val="clear"/>
        <w:spacing w:after="0" w:line="260"/>
        <w:ind w:left="240"/>
      </w:pPr>
      <w:r>
        <w:rPr>
          <w:rFonts w:ascii="Consolas" w:cs="Consolas" w:eastAsia="Consolas" w:hAnsi="Consolas"/>
          <w:sz w:val="18"/>
          <w:szCs w:val="18"/>
        </w:rPr>
        <w:t xml:space="preserve"># Generate synthetic data (creates data/navy_dt.db)</w:t>
      </w:r>
    </w:p>
    <w:p>
      <w:pPr>
        <w:shd w:fill="F4F4F4" w:val="clear"/>
        <w:spacing w:after="0" w:line="260"/>
        <w:ind w:left="240"/>
      </w:pPr>
      <w:r>
        <w:rPr>
          <w:rFonts w:ascii="Consolas" w:cs="Consolas" w:eastAsia="Consolas" w:hAnsi="Consolas"/>
          <w:sz w:val="18"/>
          <w:szCs w:val="18"/>
        </w:rPr>
        <w:t xml:space="preserve">cd src</w:t>
      </w:r>
    </w:p>
    <w:p>
      <w:pPr>
        <w:shd w:fill="F4F4F4" w:val="clear"/>
        <w:spacing w:after="0" w:line="260"/>
        <w:ind w:left="240"/>
      </w:pPr>
      <w:r>
        <w:rPr>
          <w:rFonts w:ascii="Consolas" w:cs="Consolas" w:eastAsia="Consolas" w:hAnsi="Consolas"/>
          <w:sz w:val="18"/>
          <w:szCs w:val="18"/>
        </w:rPr>
        <w:t xml:space="preserve">python generate_data.py</w:t>
      </w:r>
    </w:p>
    <w:p>
      <w:pPr>
        <w:shd w:fill="F4F4F4" w:val="clear"/>
        <w:spacing w:after="0" w:line="260"/>
        <w:ind w:left="240"/>
      </w:pPr>
      <w:r>
        <w:rPr>
          <w:rFonts w:ascii="Consolas" w:cs="Consolas" w:eastAsia="Consolas" w:hAnsi="Consolas"/>
          <w:sz w:val="18"/>
          <w:szCs w:val="18"/>
        </w:rPr>
        <w:t xml:space="preserve"/>
      </w:r>
    </w:p>
    <w:p>
      <w:pPr>
        <w:shd w:fill="F4F4F4" w:val="clear"/>
        <w:spacing w:after="0" w:line="260"/>
        <w:ind w:left="240"/>
      </w:pPr>
      <w:r>
        <w:rPr>
          <w:rFonts w:ascii="Consolas" w:cs="Consolas" w:eastAsia="Consolas" w:hAnsi="Consolas"/>
          <w:sz w:val="18"/>
          <w:szCs w:val="18"/>
        </w:rPr>
        <w:t xml:space="preserve"># Launch the Streamlit dashboard</w:t>
      </w:r>
    </w:p>
    <w:p>
      <w:pPr>
        <w:shd w:fill="F4F4F4" w:val="clear"/>
        <w:spacing w:after="120" w:line="260"/>
        <w:ind w:left="240"/>
      </w:pPr>
      <w:r>
        <w:rPr>
          <w:rFonts w:ascii="Consolas" w:cs="Consolas" w:eastAsia="Consolas" w:hAnsi="Consolas"/>
          <w:sz w:val="18"/>
          <w:szCs w:val="18"/>
        </w:rPr>
        <w:t xml:space="preserve">streamlit run app.py</w:t>
      </w:r>
    </w:p>
    <w:p>
      <w:pPr>
        <w:spacing w:after="120" w:line="300"/>
      </w:pPr>
      <w:r>
        <w:t xml:space="preserve">The dashboard opens at http://localhost:8501.</w:t>
      </w:r>
    </w:p>
    <w:p>
      <w:pPr>
        <w:pStyle w:val="Heading2"/>
        <w:spacing w:after="180" w:before="360"/>
      </w:pPr>
      <w:r>
        <w:rPr>
          <w:color w:val="1E2761"/>
        </w:rPr>
        <w:t xml:space="preserve">5.4 Generated data characteristics</w:t>
      </w:r>
    </w:p>
    <w:p>
      <w:pPr>
        <w:spacing w:after="120" w:line="300"/>
      </w:pPr>
      <w:r>
        <w:t xml:space="preserve">The data generator produces realistic patterns designed to give the scenario models meaningful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Entity</w:t>
            </w:r>
          </w:p>
        </w:tc>
        <w:tc>
          <w:tcPr>
            <w:tcW w:type="dxa" w:w="468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Records Generated</w:t>
            </w:r>
          </w:p>
        </w:tc>
      </w:tr>
      <w:tr>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Sailors (Active Duty enlisted)</w:t>
            </w:r>
          </w:p>
        </w:tc>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5,000</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Billets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6,228</w:t>
            </w:r>
          </w:p>
        </w:tc>
      </w:tr>
      <w:tr>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Assignments (current + historical)</w:t>
            </w:r>
          </w:p>
        </w:tc>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13,379</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Qualifications (NECs, PQS, watch)</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22,050</w:t>
            </w:r>
          </w:p>
        </w:tc>
      </w:tr>
      <w:tr>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FITREPs</w:t>
            </w:r>
          </w:p>
        </w:tc>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22,891</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Advancement exam records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4,238</w:t>
            </w:r>
          </w:p>
        </w:tc>
      </w:tr>
      <w:tr>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Pay records</w:t>
            </w:r>
          </w:p>
        </w:tc>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5,000</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Medical statuses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5,000</w:t>
            </w:r>
          </w:p>
        </w:tc>
      </w:tr>
      <w:tr>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Education records</w:t>
            </w:r>
          </w:p>
        </w:tc>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6,143</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Accession records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5,000</w:t>
            </w:r>
          </w:p>
        </w:tc>
      </w:tr>
      <w:tr>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Personnel events (audit/event spine)</w:t>
            </w:r>
          </w:p>
        </w:tc>
        <w:tc>
          <w:tcPr>
            <w:tcW w:type="dxa" w:w="468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50,526</w:t>
            </w:r>
          </w:p>
        </w:tc>
      </w:tr>
    </w:tbl>
    <w:p>
      <w:pPr>
        <w:pStyle w:val="Heading3"/>
        <w:spacing w:after="120" w:before="240"/>
      </w:pPr>
      <w:r>
        <w:rPr>
          <w:color w:val="1E2761"/>
        </w:rPr>
        <w:t xml:space="preserve">Embedded patterns for model learning</w:t>
      </w:r>
    </w:p>
    <w:p>
      <w:pPr>
        <w:pStyle w:val="ListParagraph"/>
        <w:numPr>
          <w:ilvl w:val="0"/>
          <w:numId w:val="2"/>
        </w:numPr>
        <w:spacing w:after="60" w:line="280"/>
      </w:pPr>
      <w:r>
        <w:t xml:space="preserve">Approximately 20% of Sailors are "fast trackers" with stronger FITREPs and faster promotion velocity</w:t>
      </w:r>
    </w:p>
    <w:p>
      <w:pPr>
        <w:pStyle w:val="ListParagraph"/>
        <w:numPr>
          <w:ilvl w:val="0"/>
          <w:numId w:val="2"/>
        </w:numPr>
        <w:spacing w:after="60" w:line="280"/>
      </w:pPr>
      <w:r>
        <w:t xml:space="preserve">Approximately 25% are placed within the EAOS retention decision window (0-18 months)</w:t>
      </w:r>
    </w:p>
    <w:p>
      <w:pPr>
        <w:pStyle w:val="ListParagraph"/>
        <w:numPr>
          <w:ilvl w:val="0"/>
          <w:numId w:val="2"/>
        </w:numPr>
        <w:spacing w:after="60" w:line="280"/>
      </w:pPr>
      <w:r>
        <w:t xml:space="preserve">Critical-rate Sailors (Cyber, Nuclear, Submarine) have higher ASVAB scores and more SRB eligibility</w:t>
      </w:r>
    </w:p>
    <w:p>
      <w:pPr>
        <w:pStyle w:val="ListParagraph"/>
        <w:numPr>
          <w:ilvl w:val="0"/>
          <w:numId w:val="2"/>
        </w:numPr>
        <w:spacing w:after="60" w:line="280"/>
      </w:pPr>
      <w:r>
        <w:t xml:space="preserve">Approximately 12% are non-deployable due to medical/dental issues</w:t>
      </w:r>
    </w:p>
    <w:p>
      <w:pPr>
        <w:pStyle w:val="ListParagraph"/>
        <w:numPr>
          <w:ilvl w:val="0"/>
          <w:numId w:val="2"/>
        </w:numPr>
        <w:spacing w:after="60" w:line="280"/>
      </w:pPr>
      <w:r>
        <w:t xml:space="preserve">Approximately 80% billet fill rate, with deliberate critical-NEC gaps for future detailing scenario</w:t>
      </w:r>
    </w:p>
    <w:p>
      <w:pPr>
        <w:pStyle w:val="ListParagraph"/>
        <w:numPr>
          <w:ilvl w:val="0"/>
          <w:numId w:val="2"/>
        </w:numPr>
        <w:spacing w:after="60" w:line="280"/>
      </w:pPr>
      <w:r>
        <w:t xml:space="preserve">Marriage rates, dependents, and EFM enrollment scale realistically with years of service</w:t>
      </w:r>
    </w:p>
    <w:p>
      <w:pPr>
        <w:pStyle w:val="Heading2"/>
        <w:spacing w:after="180" w:before="360"/>
      </w:pPr>
      <w:r>
        <w:rPr>
          <w:color w:val="1E2761"/>
        </w:rPr>
        <w:t xml:space="preserve">5.5 POC results — Retention Risk</w:t>
      </w:r>
    </w:p>
    <w:p>
      <w:pPr>
        <w:spacing w:after="120" w:line="300"/>
      </w:pPr>
      <w:r>
        <w:t xml:space="preserve">Running the retention risk scoring across the 5,000-Sailor synthetic population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Risk Tier</w:t>
            </w:r>
          </w:p>
        </w:tc>
        <w:tc>
          <w:tcPr>
            <w:tcW w:type="dxa" w:w="14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Count</w:t>
            </w:r>
          </w:p>
        </w:tc>
        <w:tc>
          <w:tcPr>
            <w:tcW w:type="dxa" w:w="55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High</w:t>
            </w:r>
          </w:p>
        </w:tc>
        <w:tc>
          <w:tcPr>
            <w:tcW w:type="dxa" w:w="14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151</w:t>
            </w:r>
          </w:p>
        </w:tc>
        <w:tc>
          <w:tcPr>
            <w:tcW w:type="dxa" w:w="55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Total risk score ≥ 50; immediate intervention candidates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Medium</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780</w:t>
            </w:r>
          </w:p>
        </w:tc>
        <w:tc>
          <w:tcPr>
            <w:tcW w:type="dxa" w:w="55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Total risk score 30-49; targeted retention conversations</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Low</w:t>
            </w:r>
          </w:p>
        </w:tc>
        <w:tc>
          <w:tcPr>
            <w:tcW w:type="dxa" w:w="14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1,526</w:t>
            </w:r>
          </w:p>
        </w:tc>
        <w:tc>
          <w:tcPr>
            <w:tcW w:type="dxa" w:w="55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Total risk score 15-29; routine check-ins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Minimal</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2,543</w:t>
            </w:r>
          </w:p>
        </w:tc>
        <w:tc>
          <w:tcPr>
            <w:tcW w:type="dxa" w:w="55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Total risk score &lt; 15; no specific action required</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Critical-rate at risk</w:t>
            </w:r>
          </w:p>
        </w:tc>
        <w:tc>
          <w:tcPr>
            <w:tcW w:type="dxa" w:w="14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308</w:t>
            </w:r>
          </w:p>
        </w:tc>
        <w:tc>
          <w:tcPr>
            <w:tcW w:type="dxa" w:w="55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Critical-community Sailors with risk score ≥ 30 (highest priority)</w:t>
            </w:r>
          </w:p>
        </w:tc>
      </w:tr>
    </w:tbl>
    <w:p>
      <w:pPr>
        <w:pStyle w:val="Heading2"/>
        <w:spacing w:after="180" w:before="360"/>
      </w:pPr>
      <w:r>
        <w:rPr>
          <w:color w:val="1E2761"/>
        </w:rPr>
        <w:t xml:space="preserve">5.6 POC results — Promotion Readiness</w:t>
      </w:r>
    </w:p>
    <w:p>
      <w:pPr>
        <w:spacing w:after="120" w:line="300"/>
      </w:pPr>
      <w:r>
        <w:t xml:space="preserve">Running the promotion readiness scoring across E3-E7 Sailors (4,223 Sailors total)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W w:type="dxa" w:w="31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Readiness Tier</w:t>
            </w:r>
          </w:p>
        </w:tc>
        <w:tc>
          <w:tcPr>
            <w:tcW w:type="dxa" w:w="14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Count</w:t>
            </w:r>
          </w:p>
        </w:tc>
        <w:tc>
          <w:tcPr>
            <w:tcW w:type="dxa" w:w="48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Notes</w:t>
            </w:r>
          </w:p>
        </w:tc>
      </w:tr>
      <w:tr>
        <w:tc>
          <w:tcPr>
            <w:tcW w:type="dxa" w:w="31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Highly Competitive</w:t>
            </w:r>
          </w:p>
        </w:tc>
        <w:tc>
          <w:tcPr>
            <w:tcW w:type="dxa" w:w="14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1,813</w:t>
            </w:r>
          </w:p>
        </w:tc>
        <w:tc>
          <w:tcPr>
            <w:tcW w:type="dxa" w:w="48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Score ≥ 80; ready for advancement now</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Competitive</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1,033</w:t>
            </w:r>
          </w:p>
        </w:tc>
        <w:tc>
          <w:tcPr>
            <w:tcW w:type="dxa" w:w="4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Score 60-79; meets most criteria</w:t>
            </w:r>
          </w:p>
        </w:tc>
      </w:tr>
      <w:tr>
        <w:tc>
          <w:tcPr>
            <w:tcW w:type="dxa" w:w="31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Approaching</w:t>
            </w:r>
          </w:p>
        </w:tc>
        <w:tc>
          <w:tcPr>
            <w:tcW w:type="dxa" w:w="14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1,320</w:t>
            </w:r>
          </w:p>
        </w:tc>
        <w:tc>
          <w:tcPr>
            <w:tcW w:type="dxa" w:w="48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Score 40-59; closeable gaps — most actionable group</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Needs Development</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57</w:t>
            </w:r>
          </w:p>
        </w:tc>
        <w:tc>
          <w:tcPr>
            <w:tcW w:type="dxa" w:w="4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Score &lt; 40; multiple gaps to close</w:t>
            </w:r>
          </w:p>
        </w:tc>
      </w:tr>
    </w:tbl>
    <w:p>
      <w:r>
        <w:br w:type="page"/>
      </w:r>
    </w:p>
    <w:p>
      <w:pPr>
        <w:pStyle w:val="Heading1"/>
        <w:spacing w:after="240" w:before="480"/>
      </w:pPr>
      <w:r>
        <w:rPr>
          <w:color w:val="1E2761"/>
        </w:rPr>
        <w:t xml:space="preserve">6. Suggested Next Steps</w:t>
      </w:r>
    </w:p>
    <w:p>
      <w:pPr>
        <w:spacing w:after="120" w:line="300"/>
      </w:pPr>
      <w:r>
        <w:t xml:space="preserve">The POC foundation is in place. From here, multiple directions are possible — each builds on the data model and synthetic data already created.</w:t>
      </w:r>
    </w:p>
    <w:p>
      <w:pPr>
        <w:pStyle w:val="Heading2"/>
        <w:spacing w:after="180" w:before="360"/>
      </w:pPr>
      <w:r>
        <w:rPr>
          <w:color w:val="1E2761"/>
        </w:rPr>
        <w:t xml:space="preserve">6.1 Add the third scenario: Detailing Optimization</w:t>
      </w:r>
    </w:p>
    <w:p>
      <w:pPr>
        <w:spacing w:after="120" w:line="300"/>
      </w:pPr>
      <w:r>
        <w:t xml:space="preserve">The data model already supports this scenario. Implementation would add a scoring function that matches Sailors to open billets considering NEC fit, family situation, career timing, geographic preferences, and command needs. Builds directly on existing features (sea/shore history, family complexity, NEC currency).</w:t>
      </w:r>
    </w:p>
    <w:p>
      <w:pPr>
        <w:pStyle w:val="Heading2"/>
        <w:spacing w:after="180" w:before="360"/>
      </w:pPr>
      <w:r>
        <w:rPr>
          <w:color w:val="1E2761"/>
        </w:rPr>
        <w:t xml:space="preserve">6.2 Replace rule-based scoring with ML models</w:t>
      </w:r>
    </w:p>
    <w:p>
      <w:pPr>
        <w:spacing w:after="120" w:line="300"/>
      </w:pPr>
      <w:r>
        <w:t xml:space="preserve">The current rule-based scoring is transparent and auditable — appropriate for a POC. In production, train gradient-boosted models (e.g., XGBoost) on historical separation outcomes for retention and historical advancement outcomes for promotion. The feature engineering layer stays identical; only the scoring layer changes.</w:t>
      </w:r>
    </w:p>
    <w:p>
      <w:pPr>
        <w:pStyle w:val="Heading2"/>
        <w:spacing w:after="180" w:before="360"/>
      </w:pPr>
      <w:r>
        <w:rPr>
          <w:color w:val="1E2761"/>
        </w:rPr>
        <w:t xml:space="preserve">6.3 Build a polished briefing deck</w:t>
      </w:r>
    </w:p>
    <w:p>
      <w:pPr>
        <w:spacing w:after="120" w:line="300"/>
      </w:pPr>
      <w:r>
        <w:t xml:space="preserve">Use the live POC outputs as evidence for a leadership briefing. The Sailor Profile view in particular is a strong visual that makes the abstract "single authoritative view" concept concrete.</w:t>
      </w:r>
    </w:p>
    <w:p>
      <w:pPr>
        <w:pStyle w:val="Heading2"/>
        <w:spacing w:after="180" w:before="360"/>
      </w:pPr>
      <w:r>
        <w:rPr>
          <w:color w:val="1E2761"/>
        </w:rPr>
        <w:t xml:space="preserve">6.4 Scale up data realism</w:t>
      </w:r>
    </w:p>
    <w:p>
      <w:pPr>
        <w:spacing w:after="120" w:line="300"/>
      </w:pPr>
      <w:r>
        <w:t xml:space="preserve">Expand from Active Duty enlisted to include officers, Reservists, and Civilians. Add additional data domains hinted at in the briefing (command climate from DEOCS, full pay history with effective-dated rows). Move toward 50K-330K Sailor scale to test query performance at production volumes.</w:t>
      </w:r>
    </w:p>
    <w:p>
      <w:pPr>
        <w:pStyle w:val="Heading2"/>
        <w:spacing w:after="180" w:before="360"/>
      </w:pPr>
      <w:r>
        <w:rPr>
          <w:color w:val="1E2761"/>
        </w:rPr>
        <w:t xml:space="preserve">6.5 Migrate scenario logic toward Jupiter</w:t>
      </w:r>
    </w:p>
    <w:p>
      <w:pPr>
        <w:spacing w:after="120" w:line="300"/>
      </w:pPr>
      <w:r>
        <w:t xml:space="preserve">Begin the technical handoff: the rule-based feature computation layer migrates from local Python/pandas to Jupiter's analytics environment. Source-system mappings already designed into the schema make this primarily a data pipeline configuration exercise.</w:t>
      </w:r>
    </w:p>
    <w:p>
      <w:r>
        <w:br w:type="page"/>
      </w:r>
    </w:p>
    <w:p>
      <w:pPr>
        <w:pStyle w:val="Heading1"/>
        <w:spacing w:after="240" w:before="480"/>
      </w:pPr>
      <w:r>
        <w:rPr>
          <w:color w:val="1E2761"/>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Definition</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ADE</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Authoritative Data Environment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AFQT</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Armed Forces Qualification Test (ASVAB composite)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ASN (M&amp;RA)</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Assistant Secretary of the Navy (Manpower &amp; Reserve Affairs)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ASVAB</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Armed Services Vocational Aptitude Battery</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BAH</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Basic Allowance for Housing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Basic Allowance for Subsistence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BUMED</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Bureau of Medicine and Surgery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CeTARS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Corporate enterprise Training Activity Resource System</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CIRIMS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Centralized Recruit Information Management System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CNP / N16</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Chief of Naval Personnel / OPNAV staff code for personnel</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DJMS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Defense Joint Military Pay System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DFAS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Defense Finance and Accounting Service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DON CIO</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Department of the Navy Chief Information Officer</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EAOS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End of Active Obligated Service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EFM</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Exceptional Family Member</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FITREP</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Fitness Report (performance evaluation)</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FLTMPS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Fleet Training Management Planning System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MAPP</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My Assignments (Sailor self-service detailing)</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MRRS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Medical Readiness Reporting System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NEC</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Navy Enlisted Classification (skill code)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NSIPS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Navy Standard Integrated Personnel System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NTMPS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Navy Training Management Planning System</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PCS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Permanent Change of Station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PHA</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Periodic Health Assessment</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PMW-240</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Program Office for HR/Personnel IT systems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POA&amp;M</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Plan of Action &amp; Milestones</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PQS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Personnel Qualification Standard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RPOC</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Raised Platform of Choice (hosting environment)</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SRB</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Selective Reenlistment Bonus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SSOT</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Single Source of Truth</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TFMMS</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Total Force Manpower Management System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THETIS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MyNavy Total Force IT Ecosystem (target architecture)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TIR</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Time in Rate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TIS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Time in Service</w:t>
            </w:r>
          </w:p>
        </w:tc>
      </w:tr>
      <w:tr>
        <w:tc>
          <w:tcPr>
            <w:tcW w:type="dxa" w:w="240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UIC</w:t>
            </w:r>
          </w:p>
        </w:tc>
        <w:tc>
          <w:tcPr>
            <w:tcW w:type="dxa" w:w="696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Unit Identification Code</w:t>
            </w:r>
          </w:p>
        </w:tc>
      </w:tr>
    </w:tbl>
    <w:p>
      <w:r>
        <w:br w:type="page"/>
      </w:r>
    </w:p>
    <w:p>
      <w:pPr>
        <w:pStyle w:val="Heading1"/>
        <w:spacing w:after="240" w:before="480"/>
      </w:pPr>
      <w:r>
        <w:rPr>
          <w:color w:val="1E2761"/>
        </w:rPr>
        <w:t xml:space="preserve">Appendix B: Files Delivered</w:t>
      </w:r>
    </w:p>
    <w:p>
      <w:pPr>
        <w:spacing w:after="120" w:line="300"/>
      </w:pPr>
      <w:r>
        <w:t xml:space="preserve">The POC deliverables include the following files, all available for review on the local POC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File</w:t>
            </w:r>
          </w:p>
        </w:tc>
        <w:tc>
          <w:tcPr>
            <w:tcW w:type="dxa" w:w="624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README.md</w:t>
            </w:r>
          </w:p>
        </w:tc>
        <w:tc>
          <w:tcPr>
            <w:tcW w:type="dxa" w:w="62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Project overview and quickstart instructions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requirements.txt</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Python package dependencies (Streamlit, pandas)</w:t>
            </w:r>
          </w:p>
        </w:tc>
      </w:tr>
      <w:tr>
        <w:tc>
          <w:tcPr>
            <w:tcW w:type="dxa" w:w="31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src/schema.sql</w:t>
            </w:r>
          </w:p>
        </w:tc>
        <w:tc>
          <w:tcPr>
            <w:tcW w:type="dxa" w:w="62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SQLite database schema for the 7 core domains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src/generate_data.py</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Synthetic data generator with embedded patterns</w:t>
            </w:r>
          </w:p>
        </w:tc>
      </w:tr>
      <w:tr>
        <w:tc>
          <w:tcPr>
            <w:tcW w:type="dxa" w:w="31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src/app.py</w:t>
            </w:r>
          </w:p>
        </w:tc>
        <w:tc>
          <w:tcPr>
            <w:tcW w:type="dxa" w:w="62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Streamlit dashboard (Overview, Retention, Promotion, Profile)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data/navy_dt.db</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Pre-generated SQLite database (5,000 Sailors)</w:t>
            </w:r>
          </w:p>
        </w:tc>
      </w:tr>
      <w:tr>
        <w:tc>
          <w:tcPr>
            <w:tcW w:type="dxa" w:w="312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docs/data_model.md</w:t>
            </w:r>
          </w:p>
        </w:tc>
        <w:tc>
          <w:tcPr>
            <w:tcW w:type="dxa" w:w="6240"/>
            <w:tcBorders>
              <w:top w:val="single" w:color="CCCCCC" w:sz="4"/>
              <w:left w:val="single" w:color="CCCCCC" w:sz="4"/>
              <w:bottom w:val="single" w:color="CCCCCC" w:sz="4"/>
              <w:right w:val="single" w:color="CCCCCC" w:sz="4"/>
            </w:tcBorders>
            <w:shd w:fill="E8EBF5" w:val="clear"/>
            <w:tcMar>
              <w:top w:type="dxa" w:w="100"/>
              <w:left w:type="dxa" w:w="140"/>
              <w:bottom w:type="dxa" w:w="100"/>
              <w:right w:type="dxa" w:w="140"/>
            </w:tcMar>
          </w:tcPr>
          <w:p>
            <w:r>
              <w:rPr>
                <w:sz w:val="20"/>
                <w:szCs w:val="20"/>
              </w:rPr>
              <w:t xml:space="preserve">Detailed data model and domain architecture design doc</w:t>
            </w:r>
          </w:p>
        </w:tc>
      </w:tr>
    </w:tbl>
    <w:p>
      <w:pPr>
        <w:spacing w:after="120" w:line="300"/>
      </w:pPr>
      <w:r>
        <w:t xml:space="preserve"/>
      </w:r>
    </w:p>
    <w:p>
      <w:pPr>
        <w:spacing w:after="120" w:line="300"/>
      </w:pPr>
      <w:r>
        <w:t xml:space="preserve"/>
      </w:r>
    </w:p>
    <w:p>
      <w:pPr>
        <w:spacing w:after="120" w:line="300"/>
      </w:pPr>
      <w:r>
        <w:rPr>
          <w:i/>
          <w:iCs/>
          <w:color w:val="5A5A5A"/>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DRAFT // PRE-DECISIONAL — UNCLASSIFIED   |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4"/>
      </w:pBdr>
      <w:jc w:val="right"/>
    </w:pPr>
    <w:r>
      <w:rPr>
        <w:i/>
        <w:iCs/>
        <w:color w:val="5A5A5A"/>
        <w:sz w:val="18"/>
        <w:szCs w:val="18"/>
      </w:rPr>
      <w:t xml:space="preserve">Sailor Digital Twin — Design &amp; POC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Sailor Digital Twin — Design &amp; POC Reference</dc:title>
  <dc:creator>MyNavy HR — Sailor Digital Twin Initiative</dc:creator>
  <cp:lastModifiedBy>Un-named</cp:lastModifiedBy>
  <cp:revision>1</cp:revision>
  <dcterms:created xsi:type="dcterms:W3CDTF">2026-04-26T22:30:07.650Z</dcterms:created>
  <dcterms:modified xsi:type="dcterms:W3CDTF">2026-04-26T22:30:07.651Z</dcterms:modified>
</cp:coreProperties>
</file>

<file path=docProps/custom.xml><?xml version="1.0" encoding="utf-8"?>
<Properties xmlns="http://schemas.openxmlformats.org/officeDocument/2006/custom-properties" xmlns:vt="http://schemas.openxmlformats.org/officeDocument/2006/docPropsVTypes"/>
</file>