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Dono Payments, Refunds and Legal-Readiness Changes</w:t>
      </w:r>
    </w:p>
    <w:p>
      <w:pPr>
        <w:pStyle w:val="Subtitle"/>
      </w:pPr>
      <w:r>
        <w:t>Engineering handoff for the jujmun/dono repository</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232"/>
            <w:vAlign w:val="center"/>
            <w:tcMar>
              <w:top w:w="90" w:type="dxa"/>
              <w:start w:w="100" w:type="dxa"/>
              <w:bottom w:w="90" w:type="dxa"/>
              <w:end w:w="100" w:type="dxa"/>
            </w:tcMar>
            <w:shd w:fill="168456"/>
          </w:tcPr>
          <w:p>
            <w:pPr>
              <w:spacing w:after="0" w:before="0"/>
            </w:pPr>
            <w:r/>
            <w:r>
              <w:rPr>
                <w:rFonts w:ascii="Arial" w:hAnsi="Arial"/>
                <w:b/>
                <w:color w:val="FFFFFF"/>
                <w:sz w:val="16"/>
              </w:rPr>
              <w:t>Document field</w:t>
            </w:r>
          </w:p>
        </w:tc>
        <w:tc>
          <w:tcPr>
            <w:tcW w:type="dxa" w:w="8280"/>
            <w:vAlign w:val="center"/>
            <w:tcMar>
              <w:top w:w="90" w:type="dxa"/>
              <w:start w:w="100" w:type="dxa"/>
              <w:bottom w:w="90" w:type="dxa"/>
              <w:end w:w="100" w:type="dxa"/>
            </w:tcMar>
            <w:shd w:fill="168456"/>
          </w:tcPr>
          <w:p>
            <w:pPr>
              <w:spacing w:after="0" w:before="0"/>
            </w:pPr>
            <w:r/>
            <w:r>
              <w:rPr>
                <w:rFonts w:ascii="Arial" w:hAnsi="Arial"/>
                <w:b/>
                <w:color w:val="FFFFFF"/>
                <w:sz w:val="16"/>
              </w:rPr>
              <w:t>Value</w:t>
            </w:r>
          </w:p>
        </w:tc>
      </w:tr>
      <w:tr>
        <w:trPr>
          <w:cantSplit/>
        </w:trPr>
        <w:tc>
          <w:tcPr>
            <w:tcW w:type="dxa" w:w="2232"/>
            <w:vAlign w:val="center"/>
            <w:tcMar>
              <w:top w:w="90" w:type="dxa"/>
              <w:start w:w="100" w:type="dxa"/>
              <w:bottom w:w="90" w:type="dxa"/>
              <w:end w:w="100" w:type="dxa"/>
            </w:tcMar>
            <w:shd w:fill="FFFFFF"/>
          </w:tcPr>
          <w:p>
            <w:pPr>
              <w:spacing w:after="0" w:before="0"/>
            </w:pPr>
            <w:r/>
            <w:r>
              <w:rPr>
                <w:rFonts w:ascii="Arial" w:hAnsi="Arial"/>
                <w:b/>
                <w:color w:val="17211B"/>
                <w:sz w:val="17"/>
              </w:rPr>
              <w:t>Status</w:t>
            </w:r>
          </w:p>
        </w:tc>
        <w:tc>
          <w:tcPr>
            <w:tcW w:type="dxa" w:w="8280"/>
            <w:vAlign w:val="center"/>
            <w:tcMar>
              <w:top w:w="90" w:type="dxa"/>
              <w:start w:w="100" w:type="dxa"/>
              <w:bottom w:w="90" w:type="dxa"/>
              <w:end w:w="100" w:type="dxa"/>
            </w:tcMar>
            <w:shd w:fill="FFFFFF"/>
          </w:tcPr>
          <w:p>
            <w:pPr>
              <w:spacing w:after="0" w:before="0"/>
            </w:pPr>
            <w:r/>
            <w:r>
              <w:rPr>
                <w:rFonts w:ascii="Arial" w:hAnsi="Arial"/>
                <w:b w:val="0"/>
                <w:color w:val="17211B"/>
                <w:sz w:val="17"/>
              </w:rPr>
              <w:t>Engineering planning draft — not approval to deploy payment changes</w:t>
            </w:r>
          </w:p>
        </w:tc>
      </w:tr>
      <w:tr>
        <w:trPr>
          <w:cantSplit/>
        </w:trPr>
        <w:tc>
          <w:tcPr>
            <w:tcW w:type="dxa" w:w="2232"/>
            <w:vAlign w:val="center"/>
            <w:tcMar>
              <w:top w:w="90" w:type="dxa"/>
              <w:start w:w="100" w:type="dxa"/>
              <w:bottom w:w="90" w:type="dxa"/>
              <w:end w:w="100" w:type="dxa"/>
            </w:tcMar>
            <w:shd w:fill="F4F7F5"/>
          </w:tcPr>
          <w:p>
            <w:pPr>
              <w:spacing w:after="0" w:before="0"/>
            </w:pPr>
            <w:r/>
            <w:r>
              <w:rPr>
                <w:rFonts w:ascii="Arial" w:hAnsi="Arial"/>
                <w:b/>
                <w:color w:val="17211B"/>
                <w:sz w:val="17"/>
              </w:rPr>
              <w:t>Repository reviewed</w:t>
            </w:r>
          </w:p>
        </w:tc>
        <w:tc>
          <w:tcPr>
            <w:tcW w:type="dxa" w:w="8280"/>
            <w:vAlign w:val="center"/>
            <w:tcMar>
              <w:top w:w="90" w:type="dxa"/>
              <w:start w:w="100" w:type="dxa"/>
              <w:bottom w:w="90" w:type="dxa"/>
              <w:end w:w="100" w:type="dxa"/>
            </w:tcMar>
            <w:shd w:fill="F4F7F5"/>
          </w:tcPr>
          <w:p>
            <w:pPr>
              <w:spacing w:after="0" w:before="0"/>
            </w:pPr>
            <w:r/>
            <w:r>
              <w:rPr>
                <w:rFonts w:ascii="Arial" w:hAnsi="Arial"/>
                <w:b w:val="0"/>
                <w:color w:val="17211B"/>
                <w:sz w:val="17"/>
              </w:rPr>
              <w:t>jujmun/dono, default branch main</w:t>
            </w:r>
          </w:p>
        </w:tc>
      </w:tr>
      <w:tr>
        <w:trPr>
          <w:cantSplit/>
        </w:trPr>
        <w:tc>
          <w:tcPr>
            <w:tcW w:type="dxa" w:w="2232"/>
            <w:vAlign w:val="center"/>
            <w:tcMar>
              <w:top w:w="90" w:type="dxa"/>
              <w:start w:w="100" w:type="dxa"/>
              <w:bottom w:w="90" w:type="dxa"/>
              <w:end w:w="100" w:type="dxa"/>
            </w:tcMar>
            <w:shd w:fill="FFFFFF"/>
          </w:tcPr>
          <w:p>
            <w:pPr>
              <w:spacing w:after="0" w:before="0"/>
            </w:pPr>
            <w:r/>
            <w:r>
              <w:rPr>
                <w:rFonts w:ascii="Arial" w:hAnsi="Arial"/>
                <w:b/>
                <w:color w:val="17211B"/>
                <w:sz w:val="17"/>
              </w:rPr>
              <w:t>Review date</w:t>
            </w:r>
          </w:p>
        </w:tc>
        <w:tc>
          <w:tcPr>
            <w:tcW w:type="dxa" w:w="8280"/>
            <w:vAlign w:val="center"/>
            <w:tcMar>
              <w:top w:w="90" w:type="dxa"/>
              <w:start w:w="100" w:type="dxa"/>
              <w:bottom w:w="90" w:type="dxa"/>
              <w:end w:w="100" w:type="dxa"/>
            </w:tcMar>
            <w:shd w:fill="FFFFFF"/>
          </w:tcPr>
          <w:p>
            <w:pPr>
              <w:spacing w:after="0" w:before="0"/>
            </w:pPr>
            <w:r/>
            <w:r>
              <w:rPr>
                <w:rFonts w:ascii="Arial" w:hAnsi="Arial"/>
                <w:b w:val="0"/>
                <w:color w:val="17211B"/>
                <w:sz w:val="17"/>
              </w:rPr>
              <w:t>20 July 2026</w:t>
            </w:r>
          </w:p>
        </w:tc>
      </w:tr>
      <w:tr>
        <w:trPr>
          <w:cantSplit/>
        </w:trPr>
        <w:tc>
          <w:tcPr>
            <w:tcW w:type="dxa" w:w="2232"/>
            <w:vAlign w:val="center"/>
            <w:tcMar>
              <w:top w:w="90" w:type="dxa"/>
              <w:start w:w="100" w:type="dxa"/>
              <w:bottom w:w="90" w:type="dxa"/>
              <w:end w:w="100" w:type="dxa"/>
            </w:tcMar>
            <w:shd w:fill="F4F7F5"/>
          </w:tcPr>
          <w:p>
            <w:pPr>
              <w:spacing w:after="0" w:before="0"/>
            </w:pPr>
            <w:r/>
            <w:r>
              <w:rPr>
                <w:rFonts w:ascii="Arial" w:hAnsi="Arial"/>
                <w:b/>
                <w:color w:val="17211B"/>
                <w:sz w:val="17"/>
              </w:rPr>
              <w:t>Primary audience</w:t>
            </w:r>
          </w:p>
        </w:tc>
        <w:tc>
          <w:tcPr>
            <w:tcW w:type="dxa" w:w="8280"/>
            <w:vAlign w:val="center"/>
            <w:tcMar>
              <w:top w:w="90" w:type="dxa"/>
              <w:start w:w="100" w:type="dxa"/>
              <w:bottom w:w="90" w:type="dxa"/>
              <w:end w:w="100" w:type="dxa"/>
            </w:tcMar>
            <w:shd w:fill="F4F7F5"/>
          </w:tcPr>
          <w:p>
            <w:pPr>
              <w:spacing w:after="0" w:before="0"/>
            </w:pPr>
            <w:r/>
            <w:r>
              <w:rPr>
                <w:rFonts w:ascii="Arial" w:hAnsi="Arial"/>
                <w:b w:val="0"/>
                <w:color w:val="17211B"/>
                <w:sz w:val="17"/>
              </w:rPr>
              <w:t>Software engineering, product and technical operations</w:t>
            </w:r>
          </w:p>
        </w:tc>
      </w:tr>
      <w:tr>
        <w:trPr>
          <w:cantSplit/>
        </w:trPr>
        <w:tc>
          <w:tcPr>
            <w:tcW w:type="dxa" w:w="2232"/>
            <w:vAlign w:val="center"/>
            <w:tcMar>
              <w:top w:w="90" w:type="dxa"/>
              <w:start w:w="100" w:type="dxa"/>
              <w:bottom w:w="90" w:type="dxa"/>
              <w:end w:w="100" w:type="dxa"/>
            </w:tcMar>
            <w:shd w:fill="FFFFFF"/>
          </w:tcPr>
          <w:p>
            <w:pPr>
              <w:spacing w:after="0" w:before="0"/>
            </w:pPr>
            <w:r/>
            <w:r>
              <w:rPr>
                <w:rFonts w:ascii="Arial" w:hAnsi="Arial"/>
                <w:b/>
                <w:color w:val="17211B"/>
                <w:sz w:val="17"/>
              </w:rPr>
              <w:t>Purpose</w:t>
            </w:r>
          </w:p>
        </w:tc>
        <w:tc>
          <w:tcPr>
            <w:tcW w:type="dxa" w:w="8280"/>
            <w:vAlign w:val="center"/>
            <w:tcMar>
              <w:top w:w="90" w:type="dxa"/>
              <w:start w:w="100" w:type="dxa"/>
              <w:bottom w:w="90" w:type="dxa"/>
              <w:end w:w="100" w:type="dxa"/>
            </w:tcMar>
            <w:shd w:fill="FFFFFF"/>
          </w:tcPr>
          <w:p>
            <w:pPr>
              <w:spacing w:after="0" w:before="0"/>
            </w:pPr>
            <w:r/>
            <w:r>
              <w:rPr>
                <w:rFonts w:ascii="Arial" w:hAnsi="Arial"/>
                <w:b w:val="0"/>
                <w:color w:val="17211B"/>
                <w:sz w:val="17"/>
              </w:rPr>
              <w:t>Translate the current implementation review into prioritised changes, decision gates and acceptance criteria</w:t>
            </w:r>
          </w:p>
        </w:tc>
      </w:tr>
    </w:tbl>
    <w:p>
      <w:pPr>
        <w:spacing w:after="40"/>
      </w:pPr>
    </w:p>
    <w:tbl>
      <w:tblPr>
        <w:tblW w:type="auto" w:w="0"/>
        <w:jc w:val="center"/>
        <w:tblLayout w:type="autofit"/>
        <w:tblLook w:firstColumn="1" w:firstRow="1" w:lastColumn="0" w:lastRow="0" w:noHBand="0" w:noVBand="1" w:val="04A0"/>
      </w:tblPr>
      <w:tblGrid>
        <w:gridCol w:w="10282"/>
      </w:tblGrid>
      <w:tr>
        <w:tc>
          <w:tcPr>
            <w:tcW w:type="dxa" w:w="10282"/>
            <w:shd w:fill="FDEBEC"/>
            <w:tcMar>
              <w:top w:w="140" w:type="dxa"/>
              <w:start w:w="180" w:type="dxa"/>
              <w:bottom w:w="140" w:type="dxa"/>
              <w:end w:w="180" w:type="dxa"/>
            </w:tcMar>
          </w:tcPr>
          <w:p>
            <w:pPr>
              <w:spacing w:after="60"/>
            </w:pPr>
            <w:r>
              <w:rPr>
                <w:rFonts w:ascii="Arial" w:hAnsi="Arial"/>
                <w:b/>
                <w:color w:val="B3261E"/>
                <w:sz w:val="20"/>
              </w:rPr>
              <w:t>Critical decision gate</w:t>
            </w:r>
          </w:p>
          <w:p>
            <w:pPr>
              <w:spacing w:after="0" w:line="252" w:lineRule="auto"/>
            </w:pPr>
            <w:r>
              <w:rPr>
                <w:rFonts w:ascii="Arial" w:hAnsi="Arial"/>
                <w:color w:val="17211B"/>
                <w:sz w:val="18"/>
              </w:rPr>
              <w:t>The team must not implement further payment or payout work until the target Stripe liability model and campaign fund-release model are confirmed. The current code uses platform charges followed by transfers to Express accounts; the intended legal model discussed to date is recipient-side charges with a Dono application fee. These models allocate control, refunds, disputes and negative-balance risk differently.</w:t>
            </w:r>
          </w:p>
        </w:tc>
      </w:tr>
    </w:tbl>
    <w:p>
      <w:pPr>
        <w:spacing w:after="20"/>
      </w:pPr>
    </w:p>
    <w:p>
      <w:pPr>
        <w:keepNext w:val="0"/>
        <w:spacing w:after="160" w:before="0" w:line="259" w:lineRule="auto"/>
      </w:pPr>
      <w:r>
        <w:rPr>
          <w:rFonts w:ascii="Arial" w:hAnsi="Arial"/>
          <w:color w:val="17211B"/>
          <w:sz w:val="19"/>
        </w:rPr>
        <w:t>This handoff describes what must change if the intended outcome is that the campaign recipient is the payment counterparty, receives the original charge on its connected Stripe account, and bears the principal refund and chargeback liability. Stripe now recommends defining account responsibilities through supported controller configurations rather than relying only on the legacy labels “Standard”, “Express” and “Custom”. Engineering should implement the required responsibility allocation, not merely change the account type string.</w:t>
      </w:r>
    </w:p>
    <w:p>
      <w:pPr>
        <w:pStyle w:val="Heading1"/>
      </w:pPr>
      <w:r>
        <w:t>1. Executive summary</w:t>
      </w:r>
    </w:p>
    <w:p>
      <w:pPr>
        <w:keepNext w:val="0"/>
        <w:spacing w:after="100" w:before="0" w:line="259" w:lineRule="auto"/>
      </w:pPr>
      <w:r>
        <w:rPr>
          <w:rFonts w:ascii="Arial" w:hAnsi="Arial"/>
          <w:color w:val="17211B"/>
          <w:sz w:val="19"/>
        </w:rPr>
        <w:t>The current repository has a functional foundation for donations, campaign moderation, Stripe Identity and connected-account onboarding, but its money movement does not match the intended operating model. The current flow creates a charge on Dono’s platform account, records the donation in Convex, and later transfers the campaign’s full recorded amount to an Express connected account. That makes Dono technically central to fund custody, payout timing, refunds and chargebacks.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00"/>
            <w:vAlign w:val="center"/>
            <w:tcMar>
              <w:top w:w="90" w:type="dxa"/>
              <w:start w:w="100" w:type="dxa"/>
              <w:bottom w:w="90" w:type="dxa"/>
              <w:end w:w="100" w:type="dxa"/>
            </w:tcMar>
            <w:shd w:fill="168456"/>
          </w:tcPr>
          <w:p>
            <w:pPr>
              <w:spacing w:after="0" w:before="0"/>
            </w:pPr>
            <w:r/>
            <w:r>
              <w:rPr>
                <w:rFonts w:ascii="Arial" w:hAnsi="Arial"/>
                <w:b/>
                <w:color w:val="FFFFFF"/>
                <w:sz w:val="16"/>
              </w:rPr>
              <w:t>Area</w:t>
            </w:r>
          </w:p>
        </w:tc>
        <w:tc>
          <w:tcPr>
            <w:tcW w:type="dxa" w:w="4320"/>
            <w:vAlign w:val="center"/>
            <w:tcMar>
              <w:top w:w="90" w:type="dxa"/>
              <w:start w:w="100" w:type="dxa"/>
              <w:bottom w:w="90" w:type="dxa"/>
              <w:end w:w="100" w:type="dxa"/>
            </w:tcMar>
            <w:shd w:fill="168456"/>
          </w:tcPr>
          <w:p>
            <w:pPr>
              <w:spacing w:after="0" w:before="0"/>
            </w:pPr>
            <w:r/>
            <w:r>
              <w:rPr>
                <w:rFonts w:ascii="Arial" w:hAnsi="Arial"/>
                <w:b/>
                <w:color w:val="FFFFFF"/>
                <w:sz w:val="16"/>
              </w:rPr>
              <w:t>Current implementation</w:t>
            </w:r>
          </w:p>
        </w:tc>
        <w:tc>
          <w:tcPr>
            <w:tcW w:type="dxa" w:w="4392"/>
            <w:vAlign w:val="center"/>
            <w:tcMar>
              <w:top w:w="90" w:type="dxa"/>
              <w:start w:w="100" w:type="dxa"/>
              <w:bottom w:w="90" w:type="dxa"/>
              <w:end w:w="100" w:type="dxa"/>
            </w:tcMar>
            <w:shd w:fill="168456"/>
          </w:tcPr>
          <w:p>
            <w:pPr>
              <w:spacing w:after="0" w:before="0"/>
            </w:pPr>
            <w:r/>
            <w:r>
              <w:rPr>
                <w:rFonts w:ascii="Arial" w:hAnsi="Arial"/>
                <w:b/>
                <w:color w:val="FFFFFF"/>
                <w:sz w:val="16"/>
              </w:rPr>
              <w:t>Required outcome</w:t>
            </w:r>
          </w:p>
        </w:tc>
      </w:tr>
      <w:tr>
        <w:trPr>
          <w:cantSplit/>
        </w:trPr>
        <w:tc>
          <w:tcPr>
            <w:tcW w:type="dxa" w:w="1800"/>
            <w:vAlign w:val="center"/>
            <w:tcMar>
              <w:top w:w="90" w:type="dxa"/>
              <w:start w:w="100" w:type="dxa"/>
              <w:bottom w:w="90" w:type="dxa"/>
              <w:end w:w="100" w:type="dxa"/>
            </w:tcMar>
            <w:shd w:fill="FFFFFF"/>
          </w:tcPr>
          <w:p>
            <w:pPr>
              <w:spacing w:after="0" w:before="0"/>
            </w:pPr>
            <w:r/>
            <w:r>
              <w:rPr>
                <w:rFonts w:ascii="Arial" w:hAnsi="Arial"/>
                <w:b w:val="0"/>
                <w:color w:val="17211B"/>
                <w:sz w:val="15"/>
              </w:rPr>
              <w:t>Charge ownership</w:t>
            </w:r>
          </w:p>
        </w:tc>
        <w:tc>
          <w:tcPr>
            <w:tcW w:type="dxa" w:w="4320"/>
            <w:vAlign w:val="center"/>
            <w:tcMar>
              <w:top w:w="90" w:type="dxa"/>
              <w:start w:w="100" w:type="dxa"/>
              <w:bottom w:w="90" w:type="dxa"/>
              <w:end w:w="100" w:type="dxa"/>
            </w:tcMar>
            <w:shd w:fill="FFFFFF"/>
          </w:tcPr>
          <w:p>
            <w:pPr>
              <w:spacing w:after="0" w:before="0"/>
            </w:pPr>
            <w:r/>
            <w:r>
              <w:rPr>
                <w:rFonts w:ascii="Arial" w:hAnsi="Arial"/>
                <w:b w:val="0"/>
                <w:color w:val="17211B"/>
                <w:sz w:val="15"/>
              </w:rPr>
              <w:t>PaymentIntent is created on Dono’s platform Stripe account.</w:t>
            </w:r>
          </w:p>
        </w:tc>
        <w:tc>
          <w:tcPr>
            <w:tcW w:type="dxa" w:w="4392"/>
            <w:vAlign w:val="center"/>
            <w:tcMar>
              <w:top w:w="90" w:type="dxa"/>
              <w:start w:w="100" w:type="dxa"/>
              <w:bottom w:w="90" w:type="dxa"/>
              <w:end w:w="100" w:type="dxa"/>
            </w:tcMar>
            <w:shd w:fill="FFFFFF"/>
          </w:tcPr>
          <w:p>
            <w:pPr>
              <w:spacing w:after="0" w:before="0"/>
            </w:pPr>
            <w:r/>
            <w:r>
              <w:rPr>
                <w:rFonts w:ascii="Arial" w:hAnsi="Arial"/>
                <w:b w:val="0"/>
                <w:color w:val="17211B"/>
                <w:sz w:val="15"/>
              </w:rPr>
              <w:t>Charge is created in the recipient connected-account context where the chosen legal model requires recipient-side charges.</w:t>
            </w:r>
          </w:p>
        </w:tc>
      </w:tr>
      <w:tr>
        <w:trPr>
          <w:cantSplit/>
        </w:trPr>
        <w:tc>
          <w:tcPr>
            <w:tcW w:type="dxa" w:w="1800"/>
            <w:vAlign w:val="center"/>
            <w:tcMar>
              <w:top w:w="90" w:type="dxa"/>
              <w:start w:w="100" w:type="dxa"/>
              <w:bottom w:w="90" w:type="dxa"/>
              <w:end w:w="100" w:type="dxa"/>
            </w:tcMar>
            <w:shd w:fill="F4F7F5"/>
          </w:tcPr>
          <w:p>
            <w:pPr>
              <w:spacing w:after="0" w:before="0"/>
            </w:pPr>
            <w:r/>
            <w:r>
              <w:rPr>
                <w:rFonts w:ascii="Arial" w:hAnsi="Arial"/>
                <w:b w:val="0"/>
                <w:color w:val="17211B"/>
                <w:sz w:val="15"/>
              </w:rPr>
              <w:t>Connected account</w:t>
            </w:r>
          </w:p>
        </w:tc>
        <w:tc>
          <w:tcPr>
            <w:tcW w:type="dxa" w:w="4320"/>
            <w:vAlign w:val="center"/>
            <w:tcMar>
              <w:top w:w="90" w:type="dxa"/>
              <w:start w:w="100" w:type="dxa"/>
              <w:bottom w:w="90" w:type="dxa"/>
              <w:end w:w="100" w:type="dxa"/>
            </w:tcMar>
            <w:shd w:fill="F4F7F5"/>
          </w:tcPr>
          <w:p>
            <w:pPr>
              <w:spacing w:after="0" w:before="0"/>
            </w:pPr>
            <w:r/>
            <w:r>
              <w:rPr>
                <w:rFonts w:ascii="Arial" w:hAnsi="Arial"/>
                <w:b w:val="0"/>
                <w:color w:val="17211B"/>
                <w:sz w:val="15"/>
              </w:rPr>
              <w:t>New accounts are hard-coded as Express.</w:t>
            </w:r>
          </w:p>
        </w:tc>
        <w:tc>
          <w:tcPr>
            <w:tcW w:type="dxa" w:w="4392"/>
            <w:vAlign w:val="center"/>
            <w:tcMar>
              <w:top w:w="90" w:type="dxa"/>
              <w:start w:w="100" w:type="dxa"/>
              <w:bottom w:w="90" w:type="dxa"/>
              <w:end w:w="100" w:type="dxa"/>
            </w:tcMar>
            <w:shd w:fill="F4F7F5"/>
          </w:tcPr>
          <w:p>
            <w:pPr>
              <w:spacing w:after="0" w:before="0"/>
            </w:pPr>
            <w:r/>
            <w:r>
              <w:rPr>
                <w:rFonts w:ascii="Arial" w:hAnsi="Arial"/>
                <w:b w:val="0"/>
                <w:color w:val="17211B"/>
                <w:sz w:val="15"/>
              </w:rPr>
              <w:t>Use the approved account/controller configuration that gives the recipient the agreed dashboard access, merchant role and negative-balance responsibility.</w:t>
            </w:r>
          </w:p>
        </w:tc>
      </w:tr>
      <w:tr>
        <w:trPr>
          <w:cantSplit/>
        </w:trPr>
        <w:tc>
          <w:tcPr>
            <w:tcW w:type="dxa" w:w="1800"/>
            <w:vAlign w:val="center"/>
            <w:tcMar>
              <w:top w:w="90" w:type="dxa"/>
              <w:start w:w="100" w:type="dxa"/>
              <w:bottom w:w="90" w:type="dxa"/>
              <w:end w:w="100" w:type="dxa"/>
            </w:tcMar>
            <w:shd w:fill="FFFFFF"/>
          </w:tcPr>
          <w:p>
            <w:pPr>
              <w:spacing w:after="0" w:before="0"/>
            </w:pPr>
            <w:r/>
            <w:r>
              <w:rPr>
                <w:rFonts w:ascii="Arial" w:hAnsi="Arial"/>
                <w:b w:val="0"/>
                <w:color w:val="17211B"/>
                <w:sz w:val="15"/>
              </w:rPr>
              <w:t>Dono fee</w:t>
            </w:r>
          </w:p>
        </w:tc>
        <w:tc>
          <w:tcPr>
            <w:tcW w:type="dxa" w:w="4320"/>
            <w:vAlign w:val="center"/>
            <w:tcMar>
              <w:top w:w="90" w:type="dxa"/>
              <w:start w:w="100" w:type="dxa"/>
              <w:bottom w:w="90" w:type="dxa"/>
              <w:end w:w="100" w:type="dxa"/>
            </w:tcMar>
            <w:shd w:fill="FFFFFF"/>
          </w:tcPr>
          <w:p>
            <w:pPr>
              <w:spacing w:after="0" w:before="0"/>
            </w:pPr>
            <w:r/>
            <w:r>
              <w:rPr>
                <w:rFonts w:ascii="Arial" w:hAnsi="Arial"/>
                <w:b w:val="0"/>
                <w:color w:val="17211B"/>
                <w:sz w:val="15"/>
              </w:rPr>
              <w:t>No application fee is implemented.</w:t>
            </w:r>
          </w:p>
        </w:tc>
        <w:tc>
          <w:tcPr>
            <w:tcW w:type="dxa" w:w="4392"/>
            <w:vAlign w:val="center"/>
            <w:tcMar>
              <w:top w:w="90" w:type="dxa"/>
              <w:start w:w="100" w:type="dxa"/>
              <w:bottom w:w="90" w:type="dxa"/>
              <w:end w:w="100" w:type="dxa"/>
            </w:tcMar>
            <w:shd w:fill="FFFFFF"/>
          </w:tcPr>
          <w:p>
            <w:pPr>
              <w:spacing w:after="0" w:before="0"/>
            </w:pPr>
            <w:r/>
            <w:r>
              <w:rPr>
                <w:rFonts w:ascii="Arial" w:hAnsi="Arial"/>
                <w:b w:val="0"/>
                <w:color w:val="17211B"/>
                <w:sz w:val="15"/>
              </w:rPr>
              <w:t>Server-calculated, versioned application fee stored immutably for each donation.</w:t>
            </w:r>
          </w:p>
        </w:tc>
      </w:tr>
      <w:tr>
        <w:trPr>
          <w:cantSplit/>
        </w:trPr>
        <w:tc>
          <w:tcPr>
            <w:tcW w:type="dxa" w:w="1800"/>
            <w:vAlign w:val="center"/>
            <w:tcMar>
              <w:top w:w="90" w:type="dxa"/>
              <w:start w:w="100" w:type="dxa"/>
              <w:bottom w:w="90" w:type="dxa"/>
              <w:end w:w="100" w:type="dxa"/>
            </w:tcMar>
            <w:shd w:fill="F4F7F5"/>
          </w:tcPr>
          <w:p>
            <w:pPr>
              <w:spacing w:after="0" w:before="0"/>
            </w:pPr>
            <w:r/>
            <w:r>
              <w:rPr>
                <w:rFonts w:ascii="Arial" w:hAnsi="Arial"/>
                <w:b w:val="0"/>
                <w:color w:val="17211B"/>
                <w:sz w:val="15"/>
              </w:rPr>
              <w:t>Fund release</w:t>
            </w:r>
          </w:p>
        </w:tc>
        <w:tc>
          <w:tcPr>
            <w:tcW w:type="dxa" w:w="4320"/>
            <w:vAlign w:val="center"/>
            <w:tcMar>
              <w:top w:w="90" w:type="dxa"/>
              <w:start w:w="100" w:type="dxa"/>
              <w:bottom w:w="90" w:type="dxa"/>
              <w:end w:w="100" w:type="dxa"/>
            </w:tcMar>
            <w:shd w:fill="F4F7F5"/>
          </w:tcPr>
          <w:p>
            <w:pPr>
              <w:spacing w:after="0" w:before="0"/>
            </w:pPr>
            <w:r/>
            <w:r>
              <w:rPr>
                <w:rFonts w:ascii="Arial" w:hAnsi="Arial"/>
                <w:b w:val="0"/>
                <w:color w:val="17211B"/>
                <w:sz w:val="15"/>
              </w:rPr>
              <w:t>Creator requests a later transfer after status becomes funded/completed.</w:t>
            </w:r>
          </w:p>
        </w:tc>
        <w:tc>
          <w:tcPr>
            <w:tcW w:type="dxa" w:w="4392"/>
            <w:vAlign w:val="center"/>
            <w:tcMar>
              <w:top w:w="90" w:type="dxa"/>
              <w:start w:w="100" w:type="dxa"/>
              <w:bottom w:w="90" w:type="dxa"/>
              <w:end w:w="100" w:type="dxa"/>
            </w:tcMar>
            <w:shd w:fill="F4F7F5"/>
          </w:tcPr>
          <w:p>
            <w:pPr>
              <w:spacing w:after="0" w:before="0"/>
            </w:pPr>
            <w:r/>
            <w:r>
              <w:rPr>
                <w:rFonts w:ascii="Arial" w:hAnsi="Arial"/>
                <w:b w:val="0"/>
                <w:color w:val="17211B"/>
                <w:sz w:val="15"/>
              </w:rPr>
              <w:t>Either remove Dono-controlled payout for direct charges or expressly retain a controlled-release architecture after legal approval.</w:t>
            </w:r>
          </w:p>
        </w:tc>
      </w:tr>
      <w:tr>
        <w:trPr>
          <w:cantSplit/>
        </w:trPr>
        <w:tc>
          <w:tcPr>
            <w:tcW w:type="dxa" w:w="1800"/>
            <w:vAlign w:val="center"/>
            <w:tcMar>
              <w:top w:w="90" w:type="dxa"/>
              <w:start w:w="100" w:type="dxa"/>
              <w:bottom w:w="90" w:type="dxa"/>
              <w:end w:w="100" w:type="dxa"/>
            </w:tcMar>
            <w:shd w:fill="FFFFFF"/>
          </w:tcPr>
          <w:p>
            <w:pPr>
              <w:spacing w:after="0" w:before="0"/>
            </w:pPr>
            <w:r/>
            <w:r>
              <w:rPr>
                <w:rFonts w:ascii="Arial" w:hAnsi="Arial"/>
                <w:b w:val="0"/>
                <w:color w:val="17211B"/>
                <w:sz w:val="15"/>
              </w:rPr>
              <w:t>Refunds</w:t>
            </w:r>
          </w:p>
        </w:tc>
        <w:tc>
          <w:tcPr>
            <w:tcW w:type="dxa" w:w="4320"/>
            <w:vAlign w:val="center"/>
            <w:tcMar>
              <w:top w:w="90" w:type="dxa"/>
              <w:start w:w="100" w:type="dxa"/>
              <w:bottom w:w="90" w:type="dxa"/>
              <w:end w:w="100" w:type="dxa"/>
            </w:tcMar>
            <w:shd w:fill="FFFFFF"/>
          </w:tcPr>
          <w:p>
            <w:pPr>
              <w:spacing w:after="0" w:before="0"/>
            </w:pPr>
            <w:r/>
            <w:r>
              <w:rPr>
                <w:rFonts w:ascii="Arial" w:hAnsi="Arial"/>
                <w:b w:val="0"/>
                <w:color w:val="17211B"/>
                <w:sz w:val="15"/>
              </w:rPr>
              <w:t>Webhooks record completed refunds; the app cannot request, approve or execute them.</w:t>
            </w:r>
          </w:p>
        </w:tc>
        <w:tc>
          <w:tcPr>
            <w:tcW w:type="dxa" w:w="4392"/>
            <w:vAlign w:val="center"/>
            <w:tcMar>
              <w:top w:w="90" w:type="dxa"/>
              <w:start w:w="100" w:type="dxa"/>
              <w:bottom w:w="90" w:type="dxa"/>
              <w:end w:w="100" w:type="dxa"/>
            </w:tcMar>
            <w:shd w:fill="FFFFFF"/>
          </w:tcPr>
          <w:p>
            <w:pPr>
              <w:spacing w:after="0" w:before="0"/>
            </w:pPr>
            <w:r/>
            <w:r>
              <w:rPr>
                <w:rFonts w:ascii="Arial" w:hAnsi="Arial"/>
                <w:b w:val="0"/>
                <w:color w:val="17211B"/>
                <w:sz w:val="15"/>
              </w:rPr>
              <w:t>End-to-end refund request, decision, execution and reconciliation workflow with partial refunds.</w:t>
            </w:r>
          </w:p>
        </w:tc>
      </w:tr>
      <w:tr>
        <w:trPr>
          <w:cantSplit/>
        </w:trPr>
        <w:tc>
          <w:tcPr>
            <w:tcW w:type="dxa" w:w="1800"/>
            <w:vAlign w:val="center"/>
            <w:tcMar>
              <w:top w:w="90" w:type="dxa"/>
              <w:start w:w="100" w:type="dxa"/>
              <w:bottom w:w="90" w:type="dxa"/>
              <w:end w:w="100" w:type="dxa"/>
            </w:tcMar>
            <w:shd w:fill="F4F7F5"/>
          </w:tcPr>
          <w:p>
            <w:pPr>
              <w:spacing w:after="0" w:before="0"/>
            </w:pPr>
            <w:r/>
            <w:r>
              <w:rPr>
                <w:rFonts w:ascii="Arial" w:hAnsi="Arial"/>
                <w:b w:val="0"/>
                <w:color w:val="17211B"/>
                <w:sz w:val="15"/>
              </w:rPr>
              <w:t>Disputes</w:t>
            </w:r>
          </w:p>
        </w:tc>
        <w:tc>
          <w:tcPr>
            <w:tcW w:type="dxa" w:w="4320"/>
            <w:vAlign w:val="center"/>
            <w:tcMar>
              <w:top w:w="90" w:type="dxa"/>
              <w:start w:w="100" w:type="dxa"/>
              <w:bottom w:w="90" w:type="dxa"/>
              <w:end w:w="100" w:type="dxa"/>
            </w:tcMar>
            <w:shd w:fill="F4F7F5"/>
          </w:tcPr>
          <w:p>
            <w:pPr>
              <w:spacing w:after="0" w:before="0"/>
            </w:pPr>
            <w:r/>
            <w:r>
              <w:rPr>
                <w:rFonts w:ascii="Arial" w:hAnsi="Arial"/>
                <w:b w:val="0"/>
                <w:color w:val="17211B"/>
                <w:sz w:val="15"/>
              </w:rPr>
              <w:t>A dispute being opened is treated as if the donation were refunded.</w:t>
            </w:r>
          </w:p>
        </w:tc>
        <w:tc>
          <w:tcPr>
            <w:tcW w:type="dxa" w:w="4392"/>
            <w:vAlign w:val="center"/>
            <w:tcMar>
              <w:top w:w="90" w:type="dxa"/>
              <w:start w:w="100" w:type="dxa"/>
              <w:bottom w:w="90" w:type="dxa"/>
              <w:end w:w="100" w:type="dxa"/>
            </w:tcMar>
            <w:shd w:fill="F4F7F5"/>
          </w:tcPr>
          <w:p>
            <w:pPr>
              <w:spacing w:after="0" w:before="0"/>
            </w:pPr>
            <w:r/>
            <w:r>
              <w:rPr>
                <w:rFonts w:ascii="Arial" w:hAnsi="Arial"/>
                <w:b w:val="0"/>
                <w:color w:val="17211B"/>
                <w:sz w:val="15"/>
              </w:rPr>
              <w:t>Separate dispute lifecycle, evidence handling, fee accounting and final outcome.</w:t>
            </w:r>
          </w:p>
        </w:tc>
      </w:tr>
      <w:tr>
        <w:trPr>
          <w:cantSplit/>
        </w:trPr>
        <w:tc>
          <w:tcPr>
            <w:tcW w:type="dxa" w:w="1800"/>
            <w:vAlign w:val="center"/>
            <w:tcMar>
              <w:top w:w="90" w:type="dxa"/>
              <w:start w:w="100" w:type="dxa"/>
              <w:bottom w:w="90" w:type="dxa"/>
              <w:end w:w="100" w:type="dxa"/>
            </w:tcMar>
            <w:shd w:fill="FFFFFF"/>
          </w:tcPr>
          <w:p>
            <w:pPr>
              <w:spacing w:after="0" w:before="0"/>
            </w:pPr>
            <w:r/>
            <w:r>
              <w:rPr>
                <w:rFonts w:ascii="Arial" w:hAnsi="Arial"/>
                <w:b w:val="0"/>
                <w:color w:val="17211B"/>
                <w:sz w:val="15"/>
              </w:rPr>
              <w:t>Campaign deadline</w:t>
            </w:r>
          </w:p>
        </w:tc>
        <w:tc>
          <w:tcPr>
            <w:tcW w:type="dxa" w:w="4320"/>
            <w:vAlign w:val="center"/>
            <w:tcMar>
              <w:top w:w="90" w:type="dxa"/>
              <w:start w:w="100" w:type="dxa"/>
              <w:bottom w:w="90" w:type="dxa"/>
              <w:end w:w="100" w:type="dxa"/>
            </w:tcMar>
            <w:shd w:fill="FFFFFF"/>
          </w:tcPr>
          <w:p>
            <w:pPr>
              <w:spacing w:after="0" w:before="0"/>
            </w:pPr>
            <w:r/>
            <w:r>
              <w:rPr>
                <w:rFonts w:ascii="Arial" w:hAnsi="Arial"/>
                <w:b w:val="0"/>
                <w:color w:val="17211B"/>
                <w:sz w:val="15"/>
              </w:rPr>
              <w:t>Deadline is set but not operationally processed.</w:t>
            </w:r>
          </w:p>
        </w:tc>
        <w:tc>
          <w:tcPr>
            <w:tcW w:type="dxa" w:w="4392"/>
            <w:vAlign w:val="center"/>
            <w:tcMar>
              <w:top w:w="90" w:type="dxa"/>
              <w:start w:w="100" w:type="dxa"/>
              <w:bottom w:w="90" w:type="dxa"/>
              <w:end w:w="100" w:type="dxa"/>
            </w:tcMar>
            <w:shd w:fill="FFFFFF"/>
          </w:tcPr>
          <w:p>
            <w:pPr>
              <w:spacing w:after="0" w:before="0"/>
            </w:pPr>
            <w:r/>
            <w:r>
              <w:rPr>
                <w:rFonts w:ascii="Arial" w:hAnsi="Arial"/>
                <w:b w:val="0"/>
                <w:color w:val="17211B"/>
                <w:sz w:val="15"/>
              </w:rPr>
              <w:t>Explicit campaign-end state machine and rules for unsuccessful campaigns, late donations and fund access.</w:t>
            </w:r>
          </w:p>
        </w:tc>
      </w:tr>
      <w:tr>
        <w:trPr>
          <w:cantSplit/>
        </w:trPr>
        <w:tc>
          <w:tcPr>
            <w:tcW w:type="dxa" w:w="1800"/>
            <w:vAlign w:val="center"/>
            <w:tcMar>
              <w:top w:w="90" w:type="dxa"/>
              <w:start w:w="100" w:type="dxa"/>
              <w:bottom w:w="90" w:type="dxa"/>
              <w:end w:w="100" w:type="dxa"/>
            </w:tcMar>
            <w:shd w:fill="F4F7F5"/>
          </w:tcPr>
          <w:p>
            <w:pPr>
              <w:spacing w:after="0" w:before="0"/>
            </w:pPr>
            <w:r/>
            <w:r>
              <w:rPr>
                <w:rFonts w:ascii="Arial" w:hAnsi="Arial"/>
                <w:b w:val="0"/>
                <w:color w:val="17211B"/>
                <w:sz w:val="15"/>
              </w:rPr>
              <w:t>Community Funds</w:t>
            </w:r>
          </w:p>
        </w:tc>
        <w:tc>
          <w:tcPr>
            <w:tcW w:type="dxa" w:w="4320"/>
            <w:vAlign w:val="center"/>
            <w:tcMar>
              <w:top w:w="90" w:type="dxa"/>
              <w:start w:w="100" w:type="dxa"/>
              <w:bottom w:w="90" w:type="dxa"/>
              <w:end w:w="100" w:type="dxa"/>
            </w:tcMar>
            <w:shd w:fill="F4F7F5"/>
          </w:tcPr>
          <w:p>
            <w:pPr>
              <w:spacing w:after="0" w:before="0"/>
            </w:pPr>
            <w:r/>
            <w:r>
              <w:rPr>
                <w:rFonts w:ascii="Arial" w:hAnsi="Arial"/>
                <w:b w:val="0"/>
                <w:color w:val="17211B"/>
                <w:sz w:val="15"/>
              </w:rPr>
              <w:t>One platform charge is allocated across several campaigns.</w:t>
            </w:r>
          </w:p>
        </w:tc>
        <w:tc>
          <w:tcPr>
            <w:tcW w:type="dxa" w:w="4392"/>
            <w:vAlign w:val="center"/>
            <w:tcMar>
              <w:top w:w="90" w:type="dxa"/>
              <w:start w:w="100" w:type="dxa"/>
              <w:bottom w:w="90" w:type="dxa"/>
              <w:end w:w="100" w:type="dxa"/>
            </w:tcMar>
            <w:shd w:fill="F4F7F5"/>
          </w:tcPr>
          <w:p>
            <w:pPr>
              <w:spacing w:after="0" w:before="0"/>
            </w:pPr>
            <w:r/>
            <w:r>
              <w:rPr>
                <w:rFonts w:ascii="Arial" w:hAnsi="Arial"/>
                <w:b w:val="0"/>
                <w:color w:val="17211B"/>
                <w:sz w:val="15"/>
              </w:rPr>
              <w:t>Disable for launch or design as a separately approved payment and legal architecture.</w:t>
            </w:r>
          </w:p>
        </w:tc>
      </w:tr>
      <w:tr>
        <w:trPr>
          <w:cantSplit/>
        </w:trPr>
        <w:tc>
          <w:tcPr>
            <w:tcW w:type="dxa" w:w="1800"/>
            <w:vAlign w:val="center"/>
            <w:tcMar>
              <w:top w:w="90" w:type="dxa"/>
              <w:start w:w="100" w:type="dxa"/>
              <w:bottom w:w="90" w:type="dxa"/>
              <w:end w:w="100" w:type="dxa"/>
            </w:tcMar>
            <w:shd w:fill="FFFFFF"/>
          </w:tcPr>
          <w:p>
            <w:pPr>
              <w:spacing w:after="0" w:before="0"/>
            </w:pPr>
            <w:r/>
            <w:r>
              <w:rPr>
                <w:rFonts w:ascii="Arial" w:hAnsi="Arial"/>
                <w:b w:val="0"/>
                <w:color w:val="17211B"/>
                <w:sz w:val="15"/>
              </w:rPr>
              <w:t>Legal consent</w:t>
            </w:r>
          </w:p>
        </w:tc>
        <w:tc>
          <w:tcPr>
            <w:tcW w:type="dxa" w:w="4320"/>
            <w:vAlign w:val="center"/>
            <w:tcMar>
              <w:top w:w="90" w:type="dxa"/>
              <w:start w:w="100" w:type="dxa"/>
              <w:bottom w:w="90" w:type="dxa"/>
              <w:end w:w="100" w:type="dxa"/>
            </w:tcMar>
            <w:shd w:fill="FFFFFF"/>
          </w:tcPr>
          <w:p>
            <w:pPr>
              <w:spacing w:after="0" w:before="0"/>
            </w:pPr>
            <w:r/>
            <w:r>
              <w:rPr>
                <w:rFonts w:ascii="Arial" w:hAnsi="Arial"/>
                <w:b w:val="0"/>
                <w:color w:val="17211B"/>
                <w:sz w:val="15"/>
              </w:rPr>
              <w:t>No versioned acceptance records for platform or campaign terms.</w:t>
            </w:r>
          </w:p>
        </w:tc>
        <w:tc>
          <w:tcPr>
            <w:tcW w:type="dxa" w:w="4392"/>
            <w:vAlign w:val="center"/>
            <w:tcMar>
              <w:top w:w="90" w:type="dxa"/>
              <w:start w:w="100" w:type="dxa"/>
              <w:bottom w:w="90" w:type="dxa"/>
              <w:end w:w="100" w:type="dxa"/>
            </w:tcMar>
            <w:shd w:fill="FFFFFF"/>
          </w:tcPr>
          <w:p>
            <w:pPr>
              <w:spacing w:after="0" w:before="0"/>
            </w:pPr>
            <w:r/>
            <w:r>
              <w:rPr>
                <w:rFonts w:ascii="Arial" w:hAnsi="Arial"/>
                <w:b w:val="0"/>
                <w:color w:val="17211B"/>
                <w:sz w:val="15"/>
              </w:rPr>
              <w:t>Record document version, user, role, timestamp and relevant campaign/payment context.</w:t>
            </w:r>
          </w:p>
        </w:tc>
      </w:tr>
    </w:tbl>
    <w:p>
      <w:pPr>
        <w:spacing w:after="40"/>
      </w:pPr>
    </w:p>
    <w:tbl>
      <w:tblPr>
        <w:tblW w:type="auto" w:w="0"/>
        <w:jc w:val="center"/>
        <w:tblLayout w:type="autofit"/>
        <w:tblLook w:firstColumn="1" w:firstRow="1" w:lastColumn="0" w:lastRow="0" w:noHBand="0" w:noVBand="1" w:val="04A0"/>
      </w:tblPr>
      <w:tblGrid>
        <w:gridCol w:w="10282"/>
      </w:tblGrid>
      <w:tr>
        <w:tc>
          <w:tcPr>
            <w:tcW w:type="dxa" w:w="10282"/>
            <w:shd w:fill="E8F5EE"/>
            <w:tcMar>
              <w:top w:w="140" w:type="dxa"/>
              <w:start w:w="180" w:type="dxa"/>
              <w:bottom w:w="140" w:type="dxa"/>
              <w:end w:w="180" w:type="dxa"/>
            </w:tcMar>
          </w:tcPr>
          <w:p>
            <w:pPr>
              <w:spacing w:after="60"/>
            </w:pPr>
            <w:r>
              <w:rPr>
                <w:rFonts w:ascii="Arial" w:hAnsi="Arial"/>
                <w:b/>
                <w:color w:val="168456"/>
                <w:sz w:val="20"/>
              </w:rPr>
              <w:t>Recommended sequencing</w:t>
            </w:r>
          </w:p>
          <w:p>
            <w:pPr>
              <w:spacing w:after="0" w:line="252" w:lineRule="auto"/>
            </w:pPr>
            <w:r>
              <w:rPr>
                <w:rFonts w:ascii="Arial" w:hAnsi="Arial"/>
                <w:color w:val="17211B"/>
                <w:sz w:val="18"/>
              </w:rPr>
              <w:t>P0: decide the payment and fund-release architecture. P1: rebuild charge, fee, refund and dispute foundations. P1: add campaign lifecycle and legal consent. P2: privacy minimisation, operational tooling and hardening. Community Funds should remain disabled until separately approved.</w:t>
            </w:r>
          </w:p>
        </w:tc>
      </w:tr>
    </w:tbl>
    <w:p>
      <w:pPr>
        <w:spacing w:after="20"/>
      </w:pPr>
    </w:p>
    <w:p>
      <w:pPr>
        <w:pStyle w:val="Heading1"/>
      </w:pPr>
      <w:r>
        <w:t>2. Architecture decision that precedes coding</w:t>
      </w:r>
    </w:p>
    <w:p>
      <w:pPr>
        <w:keepNext w:val="0"/>
        <w:spacing w:after="100" w:before="0" w:line="259" w:lineRule="auto"/>
      </w:pPr>
      <w:r>
        <w:rPr>
          <w:rFonts w:ascii="Arial" w:hAnsi="Arial"/>
          <w:color w:val="17211B"/>
          <w:sz w:val="19"/>
        </w:rPr>
        <w:t>The payment architecture cannot be chosen solely from a preferred Stripe account label. It must follow the intended legal and product responsibilities. The following decision must be recorded in an Architecture Decision Record before implementation begins.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vAlign w:val="center"/>
            <w:tcMar>
              <w:top w:w="90" w:type="dxa"/>
              <w:start w:w="100" w:type="dxa"/>
              <w:bottom w:w="90" w:type="dxa"/>
              <w:end w:w="100" w:type="dxa"/>
            </w:tcMar>
            <w:shd w:fill="168456"/>
          </w:tcPr>
          <w:p>
            <w:pPr>
              <w:spacing w:after="0" w:before="0"/>
            </w:pPr>
            <w:r/>
            <w:r>
              <w:rPr>
                <w:rFonts w:ascii="Arial" w:hAnsi="Arial"/>
                <w:b/>
                <w:color w:val="FFFFFF"/>
                <w:sz w:val="16"/>
              </w:rPr>
              <w:t>Question</w:t>
            </w:r>
          </w:p>
        </w:tc>
        <w:tc>
          <w:tcPr>
            <w:tcW w:type="dxa" w:w="4320"/>
            <w:vAlign w:val="center"/>
            <w:tcMar>
              <w:top w:w="90" w:type="dxa"/>
              <w:start w:w="100" w:type="dxa"/>
              <w:bottom w:w="90" w:type="dxa"/>
              <w:end w:w="100" w:type="dxa"/>
            </w:tcMar>
            <w:shd w:fill="168456"/>
          </w:tcPr>
          <w:p>
            <w:pPr>
              <w:spacing w:after="0" w:before="0"/>
            </w:pPr>
            <w:r/>
            <w:r>
              <w:rPr>
                <w:rFonts w:ascii="Arial" w:hAnsi="Arial"/>
                <w:b/>
                <w:color w:val="FFFFFF"/>
                <w:sz w:val="16"/>
              </w:rPr>
              <w:t>Option A — recipient-side direct charge</w:t>
            </w:r>
          </w:p>
        </w:tc>
        <w:tc>
          <w:tcPr>
            <w:tcW w:type="dxa" w:w="4320"/>
            <w:vAlign w:val="center"/>
            <w:tcMar>
              <w:top w:w="90" w:type="dxa"/>
              <w:start w:w="100" w:type="dxa"/>
              <w:bottom w:w="90" w:type="dxa"/>
              <w:end w:w="100" w:type="dxa"/>
            </w:tcMar>
            <w:shd w:fill="168456"/>
          </w:tcPr>
          <w:p>
            <w:pPr>
              <w:spacing w:after="0" w:before="0"/>
            </w:pPr>
            <w:r/>
            <w:r>
              <w:rPr>
                <w:rFonts w:ascii="Arial" w:hAnsi="Arial"/>
                <w:b/>
                <w:color w:val="FFFFFF"/>
                <w:sz w:val="16"/>
              </w:rPr>
              <w:t>Option B — platform charge plus transfer</w:t>
            </w:r>
          </w:p>
        </w:tc>
      </w:tr>
      <w:tr>
        <w:trPr>
          <w:cantSplit/>
        </w:trPr>
        <w:tc>
          <w:tcPr>
            <w:tcW w:type="dxa" w:w="1944"/>
            <w:vAlign w:val="center"/>
            <w:tcMar>
              <w:top w:w="90" w:type="dxa"/>
              <w:start w:w="100" w:type="dxa"/>
              <w:bottom w:w="90" w:type="dxa"/>
              <w:end w:w="100" w:type="dxa"/>
            </w:tcMar>
            <w:shd w:fill="FFFFFF"/>
          </w:tcPr>
          <w:p>
            <w:pPr>
              <w:spacing w:after="0" w:before="0"/>
            </w:pPr>
            <w:r/>
            <w:r>
              <w:rPr>
                <w:rFonts w:ascii="Arial" w:hAnsi="Arial"/>
                <w:b w:val="0"/>
                <w:color w:val="17211B"/>
                <w:sz w:val="15"/>
              </w:rPr>
              <w:t>Where does the charge exist?</w:t>
            </w:r>
          </w:p>
        </w:tc>
        <w:tc>
          <w:tcPr>
            <w:tcW w:type="dxa" w:w="4320"/>
            <w:vAlign w:val="center"/>
            <w:tcMar>
              <w:top w:w="90" w:type="dxa"/>
              <w:start w:w="100" w:type="dxa"/>
              <w:bottom w:w="90" w:type="dxa"/>
              <w:end w:w="100" w:type="dxa"/>
            </w:tcMar>
            <w:shd w:fill="FFFFFF"/>
          </w:tcPr>
          <w:p>
            <w:pPr>
              <w:spacing w:after="0" w:before="0"/>
            </w:pPr>
            <w:r/>
            <w:r>
              <w:rPr>
                <w:rFonts w:ascii="Arial" w:hAnsi="Arial"/>
                <w:b w:val="0"/>
                <w:color w:val="17211B"/>
                <w:sz w:val="15"/>
              </w:rPr>
              <w:t>On the recipient connected account.</w:t>
            </w:r>
          </w:p>
        </w:tc>
        <w:tc>
          <w:tcPr>
            <w:tcW w:type="dxa" w:w="4320"/>
            <w:vAlign w:val="center"/>
            <w:tcMar>
              <w:top w:w="90" w:type="dxa"/>
              <w:start w:w="100" w:type="dxa"/>
              <w:bottom w:w="90" w:type="dxa"/>
              <w:end w:w="100" w:type="dxa"/>
            </w:tcMar>
            <w:shd w:fill="FFFFFF"/>
          </w:tcPr>
          <w:p>
            <w:pPr>
              <w:spacing w:after="0" w:before="0"/>
            </w:pPr>
            <w:r/>
            <w:r>
              <w:rPr>
                <w:rFonts w:ascii="Arial" w:hAnsi="Arial"/>
                <w:b w:val="0"/>
                <w:color w:val="17211B"/>
                <w:sz w:val="15"/>
              </w:rPr>
              <w:t>On Dono’s platform account.</w:t>
            </w:r>
          </w:p>
        </w:tc>
      </w:tr>
      <w:tr>
        <w:trPr>
          <w:cantSplit/>
        </w:trPr>
        <w:tc>
          <w:tcPr>
            <w:tcW w:type="dxa" w:w="1944"/>
            <w:vAlign w:val="center"/>
            <w:tcMar>
              <w:top w:w="90" w:type="dxa"/>
              <w:start w:w="100" w:type="dxa"/>
              <w:bottom w:w="90" w:type="dxa"/>
              <w:end w:w="100" w:type="dxa"/>
            </w:tcMar>
            <w:shd w:fill="F4F7F5"/>
          </w:tcPr>
          <w:p>
            <w:pPr>
              <w:spacing w:after="0" w:before="0"/>
            </w:pPr>
            <w:r/>
            <w:r>
              <w:rPr>
                <w:rFonts w:ascii="Arial" w:hAnsi="Arial"/>
                <w:b w:val="0"/>
                <w:color w:val="17211B"/>
                <w:sz w:val="15"/>
              </w:rPr>
              <w:t>Who ordinarily bears payment refunds and disputes?</w:t>
            </w:r>
          </w:p>
        </w:tc>
        <w:tc>
          <w:tcPr>
            <w:tcW w:type="dxa" w:w="4320"/>
            <w:vAlign w:val="center"/>
            <w:tcMar>
              <w:top w:w="90" w:type="dxa"/>
              <w:start w:w="100" w:type="dxa"/>
              <w:bottom w:w="90" w:type="dxa"/>
              <w:end w:w="100" w:type="dxa"/>
            </w:tcMar>
            <w:shd w:fill="F4F7F5"/>
          </w:tcPr>
          <w:p>
            <w:pPr>
              <w:spacing w:after="0" w:before="0"/>
            </w:pPr>
            <w:r/>
            <w:r>
              <w:rPr>
                <w:rFonts w:ascii="Arial" w:hAnsi="Arial"/>
                <w:b w:val="0"/>
                <w:color w:val="17211B"/>
                <w:sz w:val="15"/>
              </w:rPr>
              <w:t>Connected account, subject to its controller/liability configuration.</w:t>
            </w:r>
          </w:p>
        </w:tc>
        <w:tc>
          <w:tcPr>
            <w:tcW w:type="dxa" w:w="4320"/>
            <w:vAlign w:val="center"/>
            <w:tcMar>
              <w:top w:w="90" w:type="dxa"/>
              <w:start w:w="100" w:type="dxa"/>
              <w:bottom w:w="90" w:type="dxa"/>
              <w:end w:w="100" w:type="dxa"/>
            </w:tcMar>
            <w:shd w:fill="F4F7F5"/>
          </w:tcPr>
          <w:p>
            <w:pPr>
              <w:spacing w:after="0" w:before="0"/>
            </w:pPr>
            <w:r/>
            <w:r>
              <w:rPr>
                <w:rFonts w:ascii="Arial" w:hAnsi="Arial"/>
                <w:b w:val="0"/>
                <w:color w:val="17211B"/>
                <w:sz w:val="15"/>
              </w:rPr>
              <w:t>Dono’s platform balance is exposed because the original charge is on the platform.</w:t>
            </w:r>
          </w:p>
        </w:tc>
      </w:tr>
      <w:tr>
        <w:trPr>
          <w:cantSplit/>
        </w:trPr>
        <w:tc>
          <w:tcPr>
            <w:tcW w:type="dxa" w:w="1944"/>
            <w:vAlign w:val="center"/>
            <w:tcMar>
              <w:top w:w="90" w:type="dxa"/>
              <w:start w:w="100" w:type="dxa"/>
              <w:bottom w:w="90" w:type="dxa"/>
              <w:end w:w="100" w:type="dxa"/>
            </w:tcMar>
            <w:shd w:fill="FFFFFF"/>
          </w:tcPr>
          <w:p>
            <w:pPr>
              <w:spacing w:after="0" w:before="0"/>
            </w:pPr>
            <w:r/>
            <w:r>
              <w:rPr>
                <w:rFonts w:ascii="Arial" w:hAnsi="Arial"/>
                <w:b w:val="0"/>
                <w:color w:val="17211B"/>
                <w:sz w:val="15"/>
              </w:rPr>
              <w:t>Can Dono delay access until campaign success?</w:t>
            </w:r>
          </w:p>
        </w:tc>
        <w:tc>
          <w:tcPr>
            <w:tcW w:type="dxa" w:w="4320"/>
            <w:vAlign w:val="center"/>
            <w:tcMar>
              <w:top w:w="90" w:type="dxa"/>
              <w:start w:w="100" w:type="dxa"/>
              <w:bottom w:w="90" w:type="dxa"/>
              <w:end w:w="100" w:type="dxa"/>
            </w:tcMar>
            <w:shd w:fill="FFFFFF"/>
          </w:tcPr>
          <w:p>
            <w:pPr>
              <w:spacing w:after="0" w:before="0"/>
            </w:pPr>
            <w:r/>
            <w:r>
              <w:rPr>
                <w:rFonts w:ascii="Arial" w:hAnsi="Arial"/>
                <w:b w:val="0"/>
                <w:color w:val="17211B"/>
                <w:sz w:val="15"/>
              </w:rPr>
              <w:t>Limited; recipient-side funds may become available under the connected account’s Stripe payout settings.</w:t>
            </w:r>
          </w:p>
        </w:tc>
        <w:tc>
          <w:tcPr>
            <w:tcW w:type="dxa" w:w="4320"/>
            <w:vAlign w:val="center"/>
            <w:tcMar>
              <w:top w:w="90" w:type="dxa"/>
              <w:start w:w="100" w:type="dxa"/>
              <w:bottom w:w="90" w:type="dxa"/>
              <w:end w:w="100" w:type="dxa"/>
            </w:tcMar>
            <w:shd w:fill="FFFFFF"/>
          </w:tcPr>
          <w:p>
            <w:pPr>
              <w:spacing w:after="0" w:before="0"/>
            </w:pPr>
            <w:r/>
            <w:r>
              <w:rPr>
                <w:rFonts w:ascii="Arial" w:hAnsi="Arial"/>
                <w:b w:val="0"/>
                <w:color w:val="17211B"/>
                <w:sz w:val="15"/>
              </w:rPr>
              <w:t>Yes; Dono decides whether and when to transfer.</w:t>
            </w:r>
          </w:p>
        </w:tc>
      </w:tr>
      <w:tr>
        <w:trPr>
          <w:cantSplit/>
        </w:trPr>
        <w:tc>
          <w:tcPr>
            <w:tcW w:type="dxa" w:w="1944"/>
            <w:vAlign w:val="center"/>
            <w:tcMar>
              <w:top w:w="90" w:type="dxa"/>
              <w:start w:w="100" w:type="dxa"/>
              <w:bottom w:w="90" w:type="dxa"/>
              <w:end w:w="100" w:type="dxa"/>
            </w:tcMar>
            <w:shd w:fill="F4F7F5"/>
          </w:tcPr>
          <w:p>
            <w:pPr>
              <w:spacing w:after="0" w:before="0"/>
            </w:pPr>
            <w:r/>
            <w:r>
              <w:rPr>
                <w:rFonts w:ascii="Arial" w:hAnsi="Arial"/>
                <w:b w:val="0"/>
                <w:color w:val="17211B"/>
                <w:sz w:val="15"/>
              </w:rPr>
              <w:t>Can one payment be split across recipients?</w:t>
            </w:r>
          </w:p>
        </w:tc>
        <w:tc>
          <w:tcPr>
            <w:tcW w:type="dxa" w:w="4320"/>
            <w:vAlign w:val="center"/>
            <w:tcMar>
              <w:top w:w="90" w:type="dxa"/>
              <w:start w:w="100" w:type="dxa"/>
              <w:bottom w:w="90" w:type="dxa"/>
              <w:end w:w="100" w:type="dxa"/>
            </w:tcMar>
            <w:shd w:fill="F4F7F5"/>
          </w:tcPr>
          <w:p>
            <w:pPr>
              <w:spacing w:after="0" w:before="0"/>
            </w:pPr>
            <w:r/>
            <w:r>
              <w:rPr>
                <w:rFonts w:ascii="Arial" w:hAnsi="Arial"/>
                <w:b w:val="0"/>
                <w:color w:val="17211B"/>
                <w:sz w:val="15"/>
              </w:rPr>
              <w:t>Not naturally.</w:t>
            </w:r>
          </w:p>
        </w:tc>
        <w:tc>
          <w:tcPr>
            <w:tcW w:type="dxa" w:w="4320"/>
            <w:vAlign w:val="center"/>
            <w:tcMar>
              <w:top w:w="90" w:type="dxa"/>
              <w:start w:w="100" w:type="dxa"/>
              <w:bottom w:w="90" w:type="dxa"/>
              <w:end w:w="100" w:type="dxa"/>
            </w:tcMar>
            <w:shd w:fill="F4F7F5"/>
          </w:tcPr>
          <w:p>
            <w:pPr>
              <w:spacing w:after="0" w:before="0"/>
            </w:pPr>
            <w:r/>
            <w:r>
              <w:rPr>
                <w:rFonts w:ascii="Arial" w:hAnsi="Arial"/>
                <w:b w:val="0"/>
                <w:color w:val="17211B"/>
                <w:sz w:val="15"/>
              </w:rPr>
              <w:t>Yes; designed for multiple or later-known recipients.</w:t>
            </w:r>
          </w:p>
        </w:tc>
      </w:tr>
      <w:tr>
        <w:trPr>
          <w:cantSplit/>
        </w:trPr>
        <w:tc>
          <w:tcPr>
            <w:tcW w:type="dxa" w:w="1944"/>
            <w:vAlign w:val="center"/>
            <w:tcMar>
              <w:top w:w="90" w:type="dxa"/>
              <w:start w:w="100" w:type="dxa"/>
              <w:bottom w:w="90" w:type="dxa"/>
              <w:end w:w="100" w:type="dxa"/>
            </w:tcMar>
            <w:shd w:fill="FFFFFF"/>
          </w:tcPr>
          <w:p>
            <w:pPr>
              <w:spacing w:after="0" w:before="0"/>
            </w:pPr>
            <w:r/>
            <w:r>
              <w:rPr>
                <w:rFonts w:ascii="Arial" w:hAnsi="Arial"/>
                <w:b w:val="0"/>
                <w:color w:val="17211B"/>
                <w:sz w:val="15"/>
              </w:rPr>
              <w:t>Dono fee</w:t>
            </w:r>
          </w:p>
        </w:tc>
        <w:tc>
          <w:tcPr>
            <w:tcW w:type="dxa" w:w="4320"/>
            <w:vAlign w:val="center"/>
            <w:tcMar>
              <w:top w:w="90" w:type="dxa"/>
              <w:start w:w="100" w:type="dxa"/>
              <w:bottom w:w="90" w:type="dxa"/>
              <w:end w:w="100" w:type="dxa"/>
            </w:tcMar>
            <w:shd w:fill="FFFFFF"/>
          </w:tcPr>
          <w:p>
            <w:pPr>
              <w:spacing w:after="0" w:before="0"/>
            </w:pPr>
            <w:r/>
            <w:r>
              <w:rPr>
                <w:rFonts w:ascii="Arial" w:hAnsi="Arial"/>
                <w:b w:val="0"/>
                <w:color w:val="17211B"/>
                <w:sz w:val="15"/>
              </w:rPr>
              <w:t>Application fee on the connected-account charge.</w:t>
            </w:r>
          </w:p>
        </w:tc>
        <w:tc>
          <w:tcPr>
            <w:tcW w:type="dxa" w:w="4320"/>
            <w:vAlign w:val="center"/>
            <w:tcMar>
              <w:top w:w="90" w:type="dxa"/>
              <w:start w:w="100" w:type="dxa"/>
              <w:bottom w:w="90" w:type="dxa"/>
              <w:end w:w="100" w:type="dxa"/>
            </w:tcMar>
            <w:shd w:fill="FFFFFF"/>
          </w:tcPr>
          <w:p>
            <w:pPr>
              <w:spacing w:after="0" w:before="0"/>
            </w:pPr>
            <w:r/>
            <w:r>
              <w:rPr>
                <w:rFonts w:ascii="Arial" w:hAnsi="Arial"/>
                <w:b w:val="0"/>
                <w:color w:val="17211B"/>
                <w:sz w:val="15"/>
              </w:rPr>
              <w:t>Retain part of platform charge or deduct from transfers.</w:t>
            </w:r>
          </w:p>
        </w:tc>
      </w:tr>
      <w:tr>
        <w:trPr>
          <w:cantSplit/>
        </w:trPr>
        <w:tc>
          <w:tcPr>
            <w:tcW w:type="dxa" w:w="1944"/>
            <w:vAlign w:val="center"/>
            <w:tcMar>
              <w:top w:w="90" w:type="dxa"/>
              <w:start w:w="100" w:type="dxa"/>
              <w:bottom w:w="90" w:type="dxa"/>
              <w:end w:w="100" w:type="dxa"/>
            </w:tcMar>
            <w:shd w:fill="F4F7F5"/>
          </w:tcPr>
          <w:p>
            <w:pPr>
              <w:spacing w:after="0" w:before="0"/>
            </w:pPr>
            <w:r/>
            <w:r>
              <w:rPr>
                <w:rFonts w:ascii="Arial" w:hAnsi="Arial"/>
                <w:b w:val="0"/>
                <w:color w:val="17211B"/>
                <w:sz w:val="15"/>
              </w:rPr>
              <w:t>Fit with intended model</w:t>
            </w:r>
          </w:p>
        </w:tc>
        <w:tc>
          <w:tcPr>
            <w:tcW w:type="dxa" w:w="4320"/>
            <w:vAlign w:val="center"/>
            <w:tcMar>
              <w:top w:w="90" w:type="dxa"/>
              <w:start w:w="100" w:type="dxa"/>
              <w:bottom w:w="90" w:type="dxa"/>
              <w:end w:w="100" w:type="dxa"/>
            </w:tcMar>
            <w:shd w:fill="F4F7F5"/>
          </w:tcPr>
          <w:p>
            <w:pPr>
              <w:spacing w:after="0" w:before="0"/>
            </w:pPr>
            <w:r/>
            <w:r>
              <w:rPr>
                <w:rFonts w:ascii="Arial" w:hAnsi="Arial"/>
                <w:b w:val="0"/>
                <w:color w:val="17211B"/>
                <w:sz w:val="15"/>
              </w:rPr>
              <w:t>Best fit where recipients are merchants of record and control their Stripe accounts.</w:t>
            </w:r>
          </w:p>
        </w:tc>
        <w:tc>
          <w:tcPr>
            <w:tcW w:type="dxa" w:w="4320"/>
            <w:vAlign w:val="center"/>
            <w:tcMar>
              <w:top w:w="90" w:type="dxa"/>
              <w:start w:w="100" w:type="dxa"/>
              <w:bottom w:w="90" w:type="dxa"/>
              <w:end w:w="100" w:type="dxa"/>
            </w:tcMar>
            <w:shd w:fill="F4F7F5"/>
          </w:tcPr>
          <w:p>
            <w:pPr>
              <w:spacing w:after="0" w:before="0"/>
            </w:pPr>
            <w:r/>
            <w:r>
              <w:rPr>
                <w:rFonts w:ascii="Arial" w:hAnsi="Arial"/>
                <w:b w:val="0"/>
                <w:color w:val="17211B"/>
                <w:sz w:val="15"/>
              </w:rPr>
              <w:t>Best fit where Dono controls allocation or conditional release, but increases Dono’s financial and regulatory exposure.</w:t>
            </w:r>
          </w:p>
        </w:tc>
      </w:tr>
    </w:tbl>
    <w:p>
      <w:pPr>
        <w:spacing w:after="40"/>
      </w:pPr>
    </w:p>
    <w:tbl>
      <w:tblPr>
        <w:tblW w:type="auto" w:w="0"/>
        <w:jc w:val="center"/>
        <w:tblLayout w:type="autofit"/>
        <w:tblLook w:firstColumn="1" w:firstRow="1" w:lastColumn="0" w:lastRow="0" w:noHBand="0" w:noVBand="1" w:val="04A0"/>
      </w:tblPr>
      <w:tblGrid>
        <w:gridCol w:w="10282"/>
      </w:tblGrid>
      <w:tr>
        <w:tc>
          <w:tcPr>
            <w:tcW w:type="dxa" w:w="10282"/>
            <w:shd w:fill="FFF3CD"/>
            <w:tcMar>
              <w:top w:w="140" w:type="dxa"/>
              <w:start w:w="180" w:type="dxa"/>
              <w:bottom w:w="140" w:type="dxa"/>
              <w:end w:w="180" w:type="dxa"/>
            </w:tcMar>
          </w:tcPr>
          <w:p>
            <w:pPr>
              <w:spacing w:after="60"/>
            </w:pPr>
            <w:r>
              <w:rPr>
                <w:rFonts w:ascii="Arial" w:hAnsi="Arial"/>
                <w:b/>
                <w:color w:val="A15C00"/>
                <w:sz w:val="20"/>
              </w:rPr>
              <w:t>Product tension to resolve</w:t>
            </w:r>
          </w:p>
          <w:p>
            <w:pPr>
              <w:spacing w:after="0" w:line="252" w:lineRule="auto"/>
            </w:pPr>
            <w:r>
              <w:rPr>
                <w:rFonts w:ascii="Arial" w:hAnsi="Arial"/>
                <w:color w:val="17211B"/>
                <w:sz w:val="18"/>
              </w:rPr>
              <w:t>A direct-charge model and an “all-or-nothing, Dono holds funds until the goal is reached” model are not the same product. If organisers must not access money before success, engineering must not assume that direct charges to full-dashboard accounts satisfy that requirement. Product and legal must choose which principle takes priority.</w:t>
            </w:r>
          </w:p>
        </w:tc>
      </w:tr>
    </w:tbl>
    <w:p>
      <w:pPr>
        <w:spacing w:after="20"/>
      </w:pPr>
    </w:p>
    <w:p>
      <w:pPr>
        <w:keepNext/>
        <w:spacing w:before="100" w:after="40"/>
      </w:pPr>
      <w:r>
        <w:rPr>
          <w:rFonts w:ascii="Arial" w:hAnsi="Arial"/>
          <w:b/>
          <w:color w:val="168456"/>
          <w:sz w:val="20"/>
        </w:rPr>
        <w:t xml:space="preserve">ARCH-01  </w:t>
      </w:r>
      <w:r>
        <w:rPr>
          <w:rFonts w:ascii="Arial" w:hAnsi="Arial"/>
          <w:b/>
          <w:color w:val="17211B"/>
          <w:sz w:val="20"/>
        </w:rPr>
        <w:t>Approve the payment responsibility model</w:t>
      </w:r>
      <w:r>
        <w:rPr>
          <w:rFonts w:ascii="Arial" w:hAnsi="Arial"/>
          <w:b/>
          <w:color w:val="B3261E"/>
          <w:sz w:val="20"/>
        </w:rPr>
        <w:t xml:space="preserve">  [P0]</w:t>
      </w:r>
    </w:p>
    <w:p>
      <w:pPr>
        <w:keepNext w:val="0"/>
        <w:spacing w:after="40" w:before="0" w:line="259" w:lineRule="auto"/>
      </w:pPr>
      <w:r>
        <w:rPr>
          <w:rFonts w:ascii="Arial" w:hAnsi="Arial"/>
          <w:color w:val="17211B"/>
          <w:sz w:val="19"/>
        </w:rPr>
        <w:t>Produce an ADR that names: where charges are created; who is merchant of record; who pays Stripe processing and dispute fees; who bears negative balances; who can initiate refunds; whether Dono may delay release; and whether connected accounts have full Stripe Dashboard access.</w:t>
      </w:r>
    </w:p>
    <w:p>
      <w:pPr>
        <w:keepNext w:val="0"/>
        <w:spacing w:after="40" w:before="0" w:line="259" w:lineRule="auto"/>
      </w:pPr>
      <w:r>
        <w:rPr>
          <w:rFonts w:ascii="Arial" w:hAnsi="Arial"/>
          <w:color w:val="17211B"/>
          <w:sz w:val="19"/>
        </w:rPr>
        <w:t>The ADR is approved by product and legal, and every engineering ticket below references it. No ambiguous terms such as “Standard-style” are used without listing the actual Stripe controller and liability properties.</w:t>
      </w:r>
    </w:p>
    <w:p>
      <w:pPr>
        <w:keepNext w:val="0"/>
        <w:spacing w:after="60" w:before="0" w:line="259" w:lineRule="auto"/>
      </w:pPr>
      <w:r>
        <w:rPr>
          <w:rFonts w:ascii="Arial" w:hAnsi="Arial"/>
          <w:color w:val="17211B"/>
          <w:sz w:val="19"/>
        </w:rPr>
        <w:t>Requires final legal and Stripe configuration confirmation.</w:t>
      </w:r>
    </w:p>
    <w:p>
      <w:pPr>
        <w:keepNext/>
        <w:spacing w:before="100" w:after="40"/>
      </w:pPr>
      <w:r>
        <w:rPr>
          <w:rFonts w:ascii="Arial" w:hAnsi="Arial"/>
          <w:b/>
          <w:color w:val="168456"/>
          <w:sz w:val="20"/>
        </w:rPr>
        <w:t xml:space="preserve">ARCH-02  </w:t>
      </w:r>
      <w:r>
        <w:rPr>
          <w:rFonts w:ascii="Arial" w:hAnsi="Arial"/>
          <w:b/>
          <w:color w:val="17211B"/>
          <w:sz w:val="20"/>
        </w:rPr>
        <w:t>Choose the campaign fund-release model</w:t>
      </w:r>
      <w:r>
        <w:rPr>
          <w:rFonts w:ascii="Arial" w:hAnsi="Arial"/>
          <w:b/>
          <w:color w:val="B3261E"/>
          <w:sz w:val="20"/>
        </w:rPr>
        <w:t xml:space="preserve">  [P0]</w:t>
      </w:r>
    </w:p>
    <w:p>
      <w:pPr>
        <w:keepNext w:val="0"/>
        <w:spacing w:after="40" w:before="0" w:line="259" w:lineRule="auto"/>
      </w:pPr>
      <w:r>
        <w:rPr>
          <w:rFonts w:ascii="Arial" w:hAnsi="Arial"/>
          <w:color w:val="17211B"/>
          <w:sz w:val="19"/>
        </w:rPr>
        <w:t>Decide between keep-it-all, all-or-nothing, milestone release, or another explicit model. Define what occurs at the campaign deadline, when the goal is reached, when a campaign is taken down, and when a recipient has already withdrawn funds.</w:t>
      </w:r>
    </w:p>
    <w:p>
      <w:pPr>
        <w:keepNext w:val="0"/>
        <w:spacing w:after="40" w:before="0" w:line="259" w:lineRule="auto"/>
      </w:pPr>
      <w:r>
        <w:rPr>
          <w:rFonts w:ascii="Arial" w:hAnsi="Arial"/>
          <w:color w:val="17211B"/>
          <w:sz w:val="19"/>
        </w:rPr>
        <w:t>A written state diagram exists and covers successful, unsuccessful, cancelled, fraudulent and disputed campaigns. The selected flow is technically compatible with ARCH-01.</w:t>
      </w:r>
    </w:p>
    <w:p>
      <w:pPr>
        <w:keepNext w:val="0"/>
        <w:spacing w:after="60" w:before="0" w:line="259" w:lineRule="auto"/>
      </w:pPr>
      <w:r>
        <w:rPr>
          <w:rFonts w:ascii="Arial" w:hAnsi="Arial"/>
          <w:color w:val="17211B"/>
          <w:sz w:val="19"/>
        </w:rPr>
        <w:t>This decision controls whether Dono can use direct charges or needs a legally approved controlled-transfer model.</w:t>
      </w:r>
    </w:p>
    <w:p>
      <w:pPr>
        <w:pStyle w:val="Heading1"/>
      </w:pPr>
      <w:r>
        <w:t>3. Current code behaviour and risks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16"/>
            <w:vAlign w:val="center"/>
            <w:tcMar>
              <w:top w:w="90" w:type="dxa"/>
              <w:start w:w="100" w:type="dxa"/>
              <w:bottom w:w="90" w:type="dxa"/>
              <w:end w:w="100" w:type="dxa"/>
            </w:tcMar>
            <w:shd w:fill="168456"/>
          </w:tcPr>
          <w:p>
            <w:pPr>
              <w:spacing w:after="0" w:before="0"/>
            </w:pPr>
            <w:r/>
            <w:r>
              <w:rPr>
                <w:rFonts w:ascii="Arial" w:hAnsi="Arial"/>
                <w:b/>
                <w:color w:val="FFFFFF"/>
                <w:sz w:val="16"/>
              </w:rPr>
              <w:t>Finding</w:t>
            </w:r>
          </w:p>
        </w:tc>
        <w:tc>
          <w:tcPr>
            <w:tcW w:type="dxa" w:w="4680"/>
            <w:vAlign w:val="center"/>
            <w:tcMar>
              <w:top w:w="90" w:type="dxa"/>
              <w:start w:w="100" w:type="dxa"/>
              <w:bottom w:w="90" w:type="dxa"/>
              <w:end w:w="100" w:type="dxa"/>
            </w:tcMar>
            <w:shd w:fill="168456"/>
          </w:tcPr>
          <w:p>
            <w:pPr>
              <w:spacing w:after="0" w:before="0"/>
            </w:pPr>
            <w:r/>
            <w:r>
              <w:rPr>
                <w:rFonts w:ascii="Arial" w:hAnsi="Arial"/>
                <w:b/>
                <w:color w:val="FFFFFF"/>
                <w:sz w:val="16"/>
              </w:rPr>
              <w:t>Repository evidence</w:t>
            </w:r>
          </w:p>
        </w:tc>
        <w:tc>
          <w:tcPr>
            <w:tcW w:type="dxa" w:w="3888"/>
            <w:vAlign w:val="center"/>
            <w:tcMar>
              <w:top w:w="90" w:type="dxa"/>
              <w:start w:w="100" w:type="dxa"/>
              <w:bottom w:w="90" w:type="dxa"/>
              <w:end w:w="100" w:type="dxa"/>
            </w:tcMar>
            <w:shd w:fill="168456"/>
          </w:tcPr>
          <w:p>
            <w:pPr>
              <w:spacing w:after="0" w:before="0"/>
            </w:pPr>
            <w:r/>
            <w:r>
              <w:rPr>
                <w:rFonts w:ascii="Arial" w:hAnsi="Arial"/>
                <w:b/>
                <w:color w:val="FFFFFF"/>
                <w:sz w:val="16"/>
              </w:rPr>
              <w:t>Engineering consequence</w:t>
            </w:r>
          </w:p>
        </w:tc>
      </w:tr>
      <w:tr>
        <w:trPr>
          <w:cantSplit/>
        </w:trPr>
        <w:tc>
          <w:tcPr>
            <w:tcW w:type="dxa" w:w="2016"/>
            <w:vAlign w:val="center"/>
            <w:tcMar>
              <w:top w:w="90" w:type="dxa"/>
              <w:start w:w="100" w:type="dxa"/>
              <w:bottom w:w="90" w:type="dxa"/>
              <w:end w:w="100" w:type="dxa"/>
            </w:tcMar>
            <w:shd w:fill="FFFFFF"/>
          </w:tcPr>
          <w:p>
            <w:pPr>
              <w:spacing w:after="0" w:before="0"/>
            </w:pPr>
            <w:r/>
            <w:r>
              <w:rPr>
                <w:rFonts w:ascii="Arial" w:hAnsi="Arial"/>
                <w:b w:val="0"/>
                <w:color w:val="17211B"/>
                <w:sz w:val="15"/>
              </w:rPr>
              <w:t>Express account creation</w:t>
            </w:r>
          </w:p>
        </w:tc>
        <w:tc>
          <w:tcPr>
            <w:tcW w:type="dxa" w:w="4680"/>
            <w:vAlign w:val="center"/>
            <w:tcMar>
              <w:top w:w="90" w:type="dxa"/>
              <w:start w:w="100" w:type="dxa"/>
              <w:bottom w:w="90" w:type="dxa"/>
              <w:end w:w="100" w:type="dxa"/>
            </w:tcMar>
            <w:shd w:fill="FFFFFF"/>
          </w:tcPr>
          <w:p>
            <w:pPr>
              <w:spacing w:after="0" w:before="0"/>
            </w:pPr>
            <w:r/>
            <w:r>
              <w:rPr>
                <w:rFonts w:ascii="Arial" w:hAnsi="Arial"/>
                <w:b w:val="0"/>
                <w:color w:val="17211B"/>
                <w:sz w:val="15"/>
              </w:rPr>
              <w:t>convex/stripeConnect.ts creates accounts with type: "express".</w:t>
            </w:r>
          </w:p>
        </w:tc>
        <w:tc>
          <w:tcPr>
            <w:tcW w:type="dxa" w:w="3888"/>
            <w:vAlign w:val="center"/>
            <w:tcMar>
              <w:top w:w="90" w:type="dxa"/>
              <w:start w:w="100" w:type="dxa"/>
              <w:bottom w:w="90" w:type="dxa"/>
              <w:end w:w="100" w:type="dxa"/>
            </w:tcMar>
            <w:shd w:fill="FFFFFF"/>
          </w:tcPr>
          <w:p>
            <w:pPr>
              <w:spacing w:after="0" w:before="0"/>
            </w:pPr>
            <w:r/>
            <w:r>
              <w:rPr>
                <w:rFonts w:ascii="Arial" w:hAnsi="Arial"/>
                <w:b w:val="0"/>
                <w:color w:val="17211B"/>
                <w:sz w:val="15"/>
              </w:rPr>
              <w:t>Do not describe or test the system as Standard/direct-payment architecture.</w:t>
            </w:r>
          </w:p>
        </w:tc>
      </w:tr>
      <w:tr>
        <w:trPr>
          <w:cantSplit/>
        </w:trPr>
        <w:tc>
          <w:tcPr>
            <w:tcW w:type="dxa" w:w="2016"/>
            <w:vAlign w:val="center"/>
            <w:tcMar>
              <w:top w:w="90" w:type="dxa"/>
              <w:start w:w="100" w:type="dxa"/>
              <w:bottom w:w="90" w:type="dxa"/>
              <w:end w:w="100" w:type="dxa"/>
            </w:tcMar>
            <w:shd w:fill="F4F7F5"/>
          </w:tcPr>
          <w:p>
            <w:pPr>
              <w:spacing w:after="0" w:before="0"/>
            </w:pPr>
            <w:r/>
            <w:r>
              <w:rPr>
                <w:rFonts w:ascii="Arial" w:hAnsi="Arial"/>
                <w:b w:val="0"/>
                <w:color w:val="17211B"/>
                <w:sz w:val="15"/>
              </w:rPr>
              <w:t>Platform PaymentIntent</w:t>
            </w:r>
          </w:p>
        </w:tc>
        <w:tc>
          <w:tcPr>
            <w:tcW w:type="dxa" w:w="4680"/>
            <w:vAlign w:val="center"/>
            <w:tcMar>
              <w:top w:w="90" w:type="dxa"/>
              <w:start w:w="100" w:type="dxa"/>
              <w:bottom w:w="90" w:type="dxa"/>
              <w:end w:w="100" w:type="dxa"/>
            </w:tcMar>
            <w:shd w:fill="F4F7F5"/>
          </w:tcPr>
          <w:p>
            <w:pPr>
              <w:spacing w:after="0" w:before="0"/>
            </w:pPr>
            <w:r/>
            <w:r>
              <w:rPr>
                <w:rFonts w:ascii="Arial" w:hAnsi="Arial"/>
                <w:b w:val="0"/>
                <w:color w:val="17211B"/>
                <w:sz w:val="15"/>
              </w:rPr>
              <w:t>convex/stripe.ts creates PaymentIntents using the platform Stripe client without connected-account scoping or application_fee_amount.</w:t>
            </w:r>
          </w:p>
        </w:tc>
        <w:tc>
          <w:tcPr>
            <w:tcW w:type="dxa" w:w="3888"/>
            <w:vAlign w:val="center"/>
            <w:tcMar>
              <w:top w:w="90" w:type="dxa"/>
              <w:start w:w="100" w:type="dxa"/>
              <w:bottom w:w="90" w:type="dxa"/>
              <w:end w:w="100" w:type="dxa"/>
            </w:tcMar>
            <w:shd w:fill="F4F7F5"/>
          </w:tcPr>
          <w:p>
            <w:pPr>
              <w:spacing w:after="0" w:before="0"/>
            </w:pPr>
            <w:r/>
            <w:r>
              <w:rPr>
                <w:rFonts w:ascii="Arial" w:hAnsi="Arial"/>
                <w:b w:val="0"/>
                <w:color w:val="17211B"/>
                <w:sz w:val="15"/>
              </w:rPr>
              <w:t>Original payment, processing fees, refunds and disputes sit at platform level.</w:t>
            </w:r>
          </w:p>
        </w:tc>
      </w:tr>
      <w:tr>
        <w:trPr>
          <w:cantSplit/>
        </w:trPr>
        <w:tc>
          <w:tcPr>
            <w:tcW w:type="dxa" w:w="2016"/>
            <w:vAlign w:val="center"/>
            <w:tcMar>
              <w:top w:w="90" w:type="dxa"/>
              <w:start w:w="100" w:type="dxa"/>
              <w:bottom w:w="90" w:type="dxa"/>
              <w:end w:w="100" w:type="dxa"/>
            </w:tcMar>
            <w:shd w:fill="FFFFFF"/>
          </w:tcPr>
          <w:p>
            <w:pPr>
              <w:spacing w:after="0" w:before="0"/>
            </w:pPr>
            <w:r/>
            <w:r>
              <w:rPr>
                <w:rFonts w:ascii="Arial" w:hAnsi="Arial"/>
                <w:b w:val="0"/>
                <w:color w:val="17211B"/>
                <w:sz w:val="15"/>
              </w:rPr>
              <w:t>Manual later transfer</w:t>
            </w:r>
          </w:p>
        </w:tc>
        <w:tc>
          <w:tcPr>
            <w:tcW w:type="dxa" w:w="4680"/>
            <w:vAlign w:val="center"/>
            <w:tcMar>
              <w:top w:w="90" w:type="dxa"/>
              <w:start w:w="100" w:type="dxa"/>
              <w:bottom w:w="90" w:type="dxa"/>
              <w:end w:w="100" w:type="dxa"/>
            </w:tcMar>
            <w:shd w:fill="FFFFFF"/>
          </w:tcPr>
          <w:p>
            <w:pPr>
              <w:spacing w:after="0" w:before="0"/>
            </w:pPr>
            <w:r/>
            <w:r>
              <w:rPr>
                <w:rFonts w:ascii="Arial" w:hAnsi="Arial"/>
                <w:b w:val="0"/>
                <w:color w:val="17211B"/>
                <w:sz w:val="15"/>
              </w:rPr>
              <w:t>convex/stripeConnect.ts and stripeConnectInternal.ts transfer campaign.raised after funded/completed.</w:t>
            </w:r>
          </w:p>
        </w:tc>
        <w:tc>
          <w:tcPr>
            <w:tcW w:type="dxa" w:w="3888"/>
            <w:vAlign w:val="center"/>
            <w:tcMar>
              <w:top w:w="90" w:type="dxa"/>
              <w:start w:w="100" w:type="dxa"/>
              <w:bottom w:w="90" w:type="dxa"/>
              <w:end w:w="100" w:type="dxa"/>
            </w:tcMar>
            <w:shd w:fill="FFFFFF"/>
          </w:tcPr>
          <w:p>
            <w:pPr>
              <w:spacing w:after="0" w:before="0"/>
            </w:pPr>
            <w:r/>
            <w:r>
              <w:rPr>
                <w:rFonts w:ascii="Arial" w:hAnsi="Arial"/>
                <w:b w:val="0"/>
                <w:color w:val="17211B"/>
                <w:sz w:val="15"/>
              </w:rPr>
              <w:t>Dono controls release and sends the gross recorded amount without fee reconciliation.</w:t>
            </w:r>
          </w:p>
        </w:tc>
      </w:tr>
      <w:tr>
        <w:trPr>
          <w:cantSplit/>
        </w:trPr>
        <w:tc>
          <w:tcPr>
            <w:tcW w:type="dxa" w:w="2016"/>
            <w:vAlign w:val="center"/>
            <w:tcMar>
              <w:top w:w="90" w:type="dxa"/>
              <w:start w:w="100" w:type="dxa"/>
              <w:bottom w:w="90" w:type="dxa"/>
              <w:end w:w="100" w:type="dxa"/>
            </w:tcMar>
            <w:shd w:fill="F4F7F5"/>
          </w:tcPr>
          <w:p>
            <w:pPr>
              <w:spacing w:after="0" w:before="0"/>
            </w:pPr>
            <w:r/>
            <w:r>
              <w:rPr>
                <w:rFonts w:ascii="Arial" w:hAnsi="Arial"/>
                <w:b w:val="0"/>
                <w:color w:val="17211B"/>
                <w:sz w:val="15"/>
              </w:rPr>
              <w:t>Refund detection only</w:t>
            </w:r>
          </w:p>
        </w:tc>
        <w:tc>
          <w:tcPr>
            <w:tcW w:type="dxa" w:w="4680"/>
            <w:vAlign w:val="center"/>
            <w:tcMar>
              <w:top w:w="90" w:type="dxa"/>
              <w:start w:w="100" w:type="dxa"/>
              <w:bottom w:w="90" w:type="dxa"/>
              <w:end w:w="100" w:type="dxa"/>
            </w:tcMar>
            <w:shd w:fill="F4F7F5"/>
          </w:tcPr>
          <w:p>
            <w:pPr>
              <w:spacing w:after="0" w:before="0"/>
            </w:pPr>
            <w:r/>
            <w:r>
              <w:rPr>
                <w:rFonts w:ascii="Arial" w:hAnsi="Arial"/>
                <w:b w:val="0"/>
                <w:color w:val="17211B"/>
                <w:sz w:val="15"/>
              </w:rPr>
              <w:t>stripeWebhook.ts handles charge.refunded; no refunds.create path exists.</w:t>
            </w:r>
          </w:p>
        </w:tc>
        <w:tc>
          <w:tcPr>
            <w:tcW w:type="dxa" w:w="3888"/>
            <w:vAlign w:val="center"/>
            <w:tcMar>
              <w:top w:w="90" w:type="dxa"/>
              <w:start w:w="100" w:type="dxa"/>
              <w:bottom w:w="90" w:type="dxa"/>
              <w:end w:w="100" w:type="dxa"/>
            </w:tcMar>
            <w:shd w:fill="F4F7F5"/>
          </w:tcPr>
          <w:p>
            <w:pPr>
              <w:spacing w:after="0" w:before="0"/>
            </w:pPr>
            <w:r/>
            <w:r>
              <w:rPr>
                <w:rFonts w:ascii="Arial" w:hAnsi="Arial"/>
                <w:b w:val="0"/>
                <w:color w:val="17211B"/>
                <w:sz w:val="15"/>
              </w:rPr>
              <w:t>No user or admin refund workflow and no reliable partial-refund handling.</w:t>
            </w:r>
          </w:p>
        </w:tc>
      </w:tr>
      <w:tr>
        <w:trPr>
          <w:cantSplit/>
        </w:trPr>
        <w:tc>
          <w:tcPr>
            <w:tcW w:type="dxa" w:w="2016"/>
            <w:vAlign w:val="center"/>
            <w:tcMar>
              <w:top w:w="90" w:type="dxa"/>
              <w:start w:w="100" w:type="dxa"/>
              <w:bottom w:w="90" w:type="dxa"/>
              <w:end w:w="100" w:type="dxa"/>
            </w:tcMar>
            <w:shd w:fill="FFFFFF"/>
          </w:tcPr>
          <w:p>
            <w:pPr>
              <w:spacing w:after="0" w:before="0"/>
            </w:pPr>
            <w:r/>
            <w:r>
              <w:rPr>
                <w:rFonts w:ascii="Arial" w:hAnsi="Arial"/>
                <w:b w:val="0"/>
                <w:color w:val="17211B"/>
                <w:sz w:val="15"/>
              </w:rPr>
              <w:t>Dispute incorrectly collapsed</w:t>
            </w:r>
          </w:p>
        </w:tc>
        <w:tc>
          <w:tcPr>
            <w:tcW w:type="dxa" w:w="4680"/>
            <w:vAlign w:val="center"/>
            <w:tcMar>
              <w:top w:w="90" w:type="dxa"/>
              <w:start w:w="100" w:type="dxa"/>
              <w:bottom w:w="90" w:type="dxa"/>
              <w:end w:w="100" w:type="dxa"/>
            </w:tcMar>
            <w:shd w:fill="FFFFFF"/>
          </w:tcPr>
          <w:p>
            <w:pPr>
              <w:spacing w:after="0" w:before="0"/>
            </w:pPr>
            <w:r/>
            <w:r>
              <w:rPr>
                <w:rFonts w:ascii="Arial" w:hAnsi="Arial"/>
                <w:b w:val="0"/>
                <w:color w:val="17211B"/>
                <w:sz w:val="15"/>
              </w:rPr>
              <w:t>charge.dispute.created calls markDonationRefunded.</w:t>
            </w:r>
          </w:p>
        </w:tc>
        <w:tc>
          <w:tcPr>
            <w:tcW w:type="dxa" w:w="3888"/>
            <w:vAlign w:val="center"/>
            <w:tcMar>
              <w:top w:w="90" w:type="dxa"/>
              <w:start w:w="100" w:type="dxa"/>
              <w:bottom w:w="90" w:type="dxa"/>
              <w:end w:w="100" w:type="dxa"/>
            </w:tcMar>
            <w:shd w:fill="FFFFFF"/>
          </w:tcPr>
          <w:p>
            <w:pPr>
              <w:spacing w:after="0" w:before="0"/>
            </w:pPr>
            <w:r/>
            <w:r>
              <w:rPr>
                <w:rFonts w:ascii="Arial" w:hAnsi="Arial"/>
                <w:b w:val="0"/>
                <w:color w:val="17211B"/>
                <w:sz w:val="15"/>
              </w:rPr>
              <w:t>A provisional dispute immediately changes campaign totals as though a final refund occurred.</w:t>
            </w:r>
          </w:p>
        </w:tc>
      </w:tr>
      <w:tr>
        <w:trPr>
          <w:cantSplit/>
        </w:trPr>
        <w:tc>
          <w:tcPr>
            <w:tcW w:type="dxa" w:w="2016"/>
            <w:vAlign w:val="center"/>
            <w:tcMar>
              <w:top w:w="90" w:type="dxa"/>
              <w:start w:w="100" w:type="dxa"/>
              <w:bottom w:w="90" w:type="dxa"/>
              <w:end w:w="100" w:type="dxa"/>
            </w:tcMar>
            <w:shd w:fill="F4F7F5"/>
          </w:tcPr>
          <w:p>
            <w:pPr>
              <w:spacing w:after="0" w:before="0"/>
            </w:pPr>
            <w:r/>
            <w:r>
              <w:rPr>
                <w:rFonts w:ascii="Arial" w:hAnsi="Arial"/>
                <w:b w:val="0"/>
                <w:color w:val="17211B"/>
                <w:sz w:val="15"/>
              </w:rPr>
              <w:t>Simple donation status</w:t>
            </w:r>
          </w:p>
        </w:tc>
        <w:tc>
          <w:tcPr>
            <w:tcW w:type="dxa" w:w="4680"/>
            <w:vAlign w:val="center"/>
            <w:tcMar>
              <w:top w:w="90" w:type="dxa"/>
              <w:start w:w="100" w:type="dxa"/>
              <w:bottom w:w="90" w:type="dxa"/>
              <w:end w:w="100" w:type="dxa"/>
            </w:tcMar>
            <w:shd w:fill="F4F7F5"/>
          </w:tcPr>
          <w:p>
            <w:pPr>
              <w:spacing w:after="0" w:before="0"/>
            </w:pPr>
            <w:r/>
            <w:r>
              <w:rPr>
                <w:rFonts w:ascii="Arial" w:hAnsi="Arial"/>
                <w:b w:val="0"/>
                <w:color w:val="17211B"/>
                <w:sz w:val="15"/>
              </w:rPr>
              <w:t>schema.ts allows pending, succeeded, failed and refunded only.</w:t>
            </w:r>
          </w:p>
        </w:tc>
        <w:tc>
          <w:tcPr>
            <w:tcW w:type="dxa" w:w="3888"/>
            <w:vAlign w:val="center"/>
            <w:tcMar>
              <w:top w:w="90" w:type="dxa"/>
              <w:start w:w="100" w:type="dxa"/>
              <w:bottom w:w="90" w:type="dxa"/>
              <w:end w:w="100" w:type="dxa"/>
            </w:tcMar>
            <w:shd w:fill="F4F7F5"/>
          </w:tcPr>
          <w:p>
            <w:pPr>
              <w:spacing w:after="0" w:before="0"/>
            </w:pPr>
            <w:r/>
            <w:r>
              <w:rPr>
                <w:rFonts w:ascii="Arial" w:hAnsi="Arial"/>
                <w:b w:val="0"/>
                <w:color w:val="17211B"/>
                <w:sz w:val="15"/>
              </w:rPr>
              <w:t>Cannot model partial refunds, disputes, review, reversal or payout reconciliation.</w:t>
            </w:r>
          </w:p>
        </w:tc>
      </w:tr>
      <w:tr>
        <w:trPr>
          <w:cantSplit/>
        </w:trPr>
        <w:tc>
          <w:tcPr>
            <w:tcW w:type="dxa" w:w="2016"/>
            <w:vAlign w:val="center"/>
            <w:tcMar>
              <w:top w:w="90" w:type="dxa"/>
              <w:start w:w="100" w:type="dxa"/>
              <w:bottom w:w="90" w:type="dxa"/>
              <w:end w:w="100" w:type="dxa"/>
            </w:tcMar>
            <w:shd w:fill="FFFFFF"/>
          </w:tcPr>
          <w:p>
            <w:pPr>
              <w:spacing w:after="0" w:before="0"/>
            </w:pPr>
            <w:r/>
            <w:r>
              <w:rPr>
                <w:rFonts w:ascii="Arial" w:hAnsi="Arial"/>
                <w:b w:val="0"/>
                <w:color w:val="17211B"/>
                <w:sz w:val="15"/>
              </w:rPr>
              <w:t>Community Fund allocation</w:t>
            </w:r>
          </w:p>
        </w:tc>
        <w:tc>
          <w:tcPr>
            <w:tcW w:type="dxa" w:w="4680"/>
            <w:vAlign w:val="center"/>
            <w:tcMar>
              <w:top w:w="90" w:type="dxa"/>
              <w:start w:w="100" w:type="dxa"/>
              <w:bottom w:w="90" w:type="dxa"/>
              <w:end w:w="100" w:type="dxa"/>
            </w:tcMar>
            <w:shd w:fill="FFFFFF"/>
          </w:tcPr>
          <w:p>
            <w:pPr>
              <w:spacing w:after="0" w:before="0"/>
            </w:pPr>
            <w:r/>
            <w:r>
              <w:rPr>
                <w:rFonts w:ascii="Arial" w:hAnsi="Arial"/>
                <w:b w:val="0"/>
                <w:color w:val="17211B"/>
                <w:sz w:val="15"/>
              </w:rPr>
              <w:t>stripeFunds.ts divides one platform payment equally among public campaigns in a category.</w:t>
            </w:r>
          </w:p>
        </w:tc>
        <w:tc>
          <w:tcPr>
            <w:tcW w:type="dxa" w:w="3888"/>
            <w:vAlign w:val="center"/>
            <w:tcMar>
              <w:top w:w="90" w:type="dxa"/>
              <w:start w:w="100" w:type="dxa"/>
              <w:bottom w:w="90" w:type="dxa"/>
              <w:end w:w="100" w:type="dxa"/>
            </w:tcMar>
            <w:shd w:fill="FFFFFF"/>
          </w:tcPr>
          <w:p>
            <w:pPr>
              <w:spacing w:after="0" w:before="0"/>
            </w:pPr>
            <w:r/>
            <w:r>
              <w:rPr>
                <w:rFonts w:ascii="Arial" w:hAnsi="Arial"/>
                <w:b w:val="0"/>
                <w:color w:val="17211B"/>
                <w:sz w:val="15"/>
              </w:rPr>
              <w:t>Pure direct-charge architecture cannot support the feature unchanged.</w:t>
            </w:r>
          </w:p>
        </w:tc>
      </w:tr>
      <w:tr>
        <w:trPr>
          <w:cantSplit/>
        </w:trPr>
        <w:tc>
          <w:tcPr>
            <w:tcW w:type="dxa" w:w="2016"/>
            <w:vAlign w:val="center"/>
            <w:tcMar>
              <w:top w:w="90" w:type="dxa"/>
              <w:start w:w="100" w:type="dxa"/>
              <w:bottom w:w="90" w:type="dxa"/>
              <w:end w:w="100" w:type="dxa"/>
            </w:tcMar>
            <w:shd w:fill="F4F7F5"/>
          </w:tcPr>
          <w:p>
            <w:pPr>
              <w:spacing w:after="0" w:before="0"/>
            </w:pPr>
            <w:r/>
            <w:r>
              <w:rPr>
                <w:rFonts w:ascii="Arial" w:hAnsi="Arial"/>
                <w:b w:val="0"/>
                <w:color w:val="17211B"/>
                <w:sz w:val="15"/>
              </w:rPr>
              <w:t>Identity and manual documents</w:t>
            </w:r>
          </w:p>
        </w:tc>
        <w:tc>
          <w:tcPr>
            <w:tcW w:type="dxa" w:w="4680"/>
            <w:vAlign w:val="center"/>
            <w:tcMar>
              <w:top w:w="90" w:type="dxa"/>
              <w:start w:w="100" w:type="dxa"/>
              <w:bottom w:w="90" w:type="dxa"/>
              <w:end w:w="100" w:type="dxa"/>
            </w:tcMar>
            <w:shd w:fill="F4F7F5"/>
          </w:tcPr>
          <w:p>
            <w:pPr>
              <w:spacing w:after="0" w:before="0"/>
            </w:pPr>
            <w:r/>
            <w:r>
              <w:rPr>
                <w:rFonts w:ascii="Arial" w:hAnsi="Arial"/>
                <w:b w:val="0"/>
                <w:color w:val="17211B"/>
                <w:sz w:val="15"/>
              </w:rPr>
              <w:t>campaignIdentity.ts uses Stripe Identity; societies.ts also stores ID and supporting documents in Convex.</w:t>
            </w:r>
          </w:p>
        </w:tc>
        <w:tc>
          <w:tcPr>
            <w:tcW w:type="dxa" w:w="3888"/>
            <w:vAlign w:val="center"/>
            <w:tcMar>
              <w:top w:w="90" w:type="dxa"/>
              <w:start w:w="100" w:type="dxa"/>
              <w:bottom w:w="90" w:type="dxa"/>
              <w:end w:w="100" w:type="dxa"/>
            </w:tcMar>
            <w:shd w:fill="F4F7F5"/>
          </w:tcPr>
          <w:p>
            <w:pPr>
              <w:spacing w:after="0" w:before="0"/>
            </w:pPr>
            <w:r/>
            <w:r>
              <w:rPr>
                <w:rFonts w:ascii="Arial" w:hAnsi="Arial"/>
                <w:b w:val="0"/>
                <w:color w:val="17211B"/>
                <w:sz w:val="15"/>
              </w:rPr>
              <w:t>Privacy policy, retention and access controls must match actual storage.</w:t>
            </w:r>
          </w:p>
        </w:tc>
      </w:tr>
      <w:tr>
        <w:trPr>
          <w:cantSplit/>
        </w:trPr>
        <w:tc>
          <w:tcPr>
            <w:tcW w:type="dxa" w:w="2016"/>
            <w:vAlign w:val="center"/>
            <w:tcMar>
              <w:top w:w="90" w:type="dxa"/>
              <w:start w:w="100" w:type="dxa"/>
              <w:bottom w:w="90" w:type="dxa"/>
              <w:end w:w="100" w:type="dxa"/>
            </w:tcMar>
            <w:shd w:fill="FFFFFF"/>
          </w:tcPr>
          <w:p>
            <w:pPr>
              <w:spacing w:after="0" w:before="0"/>
            </w:pPr>
            <w:r/>
            <w:r>
              <w:rPr>
                <w:rFonts w:ascii="Arial" w:hAnsi="Arial"/>
                <w:b w:val="0"/>
                <w:color w:val="17211B"/>
                <w:sz w:val="15"/>
              </w:rPr>
              <w:t>Deadline not enforced</w:t>
            </w:r>
          </w:p>
        </w:tc>
        <w:tc>
          <w:tcPr>
            <w:tcW w:type="dxa" w:w="4680"/>
            <w:vAlign w:val="center"/>
            <w:tcMar>
              <w:top w:w="90" w:type="dxa"/>
              <w:start w:w="100" w:type="dxa"/>
              <w:bottom w:w="90" w:type="dxa"/>
              <w:end w:w="100" w:type="dxa"/>
            </w:tcMar>
            <w:shd w:fill="FFFFFF"/>
          </w:tcPr>
          <w:p>
            <w:pPr>
              <w:spacing w:after="0" w:before="0"/>
            </w:pPr>
            <w:r/>
            <w:r>
              <w:rPr>
                <w:rFonts w:ascii="Arial" w:hAnsi="Arial"/>
                <w:b w:val="0"/>
                <w:color w:val="17211B"/>
                <w:sz w:val="15"/>
              </w:rPr>
              <w:t>campaign creation sets a two-month deadline, but no deadline processor determines outcome.</w:t>
            </w:r>
          </w:p>
        </w:tc>
        <w:tc>
          <w:tcPr>
            <w:tcW w:type="dxa" w:w="3888"/>
            <w:vAlign w:val="center"/>
            <w:tcMar>
              <w:top w:w="90" w:type="dxa"/>
              <w:start w:w="100" w:type="dxa"/>
              <w:bottom w:w="90" w:type="dxa"/>
              <w:end w:w="100" w:type="dxa"/>
            </w:tcMar>
            <w:shd w:fill="FFFFFF"/>
          </w:tcPr>
          <w:p>
            <w:pPr>
              <w:spacing w:after="0" w:before="0"/>
            </w:pPr>
            <w:r/>
            <w:r>
              <w:rPr>
                <w:rFonts w:ascii="Arial" w:hAnsi="Arial"/>
                <w:b w:val="0"/>
                <w:color w:val="17211B"/>
                <w:sz w:val="15"/>
              </w:rPr>
              <w:t>Campaign status and refund/payout effects are undefined at expiry.</w:t>
            </w:r>
          </w:p>
        </w:tc>
      </w:tr>
    </w:tbl>
    <w:p>
      <w:pPr>
        <w:spacing w:after="40"/>
      </w:pPr>
    </w:p>
    <w:p>
      <w:pPr>
        <w:pStyle w:val="Heading1"/>
      </w:pPr>
      <w:r>
        <w:t>4. Payment and connected-account rebuild</w:t>
      </w:r>
    </w:p>
    <w:p>
      <w:pPr>
        <w:keepNext/>
        <w:spacing w:before="100" w:after="40"/>
      </w:pPr>
      <w:r>
        <w:rPr>
          <w:rFonts w:ascii="Arial" w:hAnsi="Arial"/>
          <w:b/>
          <w:color w:val="168456"/>
          <w:sz w:val="20"/>
        </w:rPr>
        <w:t xml:space="preserve">CONN-01  </w:t>
      </w:r>
      <w:r>
        <w:rPr>
          <w:rFonts w:ascii="Arial" w:hAnsi="Arial"/>
          <w:b/>
          <w:color w:val="17211B"/>
          <w:sz w:val="20"/>
        </w:rPr>
        <w:t>Replace hard-coded Express onboarding</w:t>
      </w:r>
      <w:r>
        <w:rPr>
          <w:rFonts w:ascii="Arial" w:hAnsi="Arial"/>
          <w:b/>
          <w:color w:val="A15C00"/>
          <w:sz w:val="20"/>
        </w:rPr>
        <w:t xml:space="preserve">  [P1]</w:t>
      </w:r>
    </w:p>
    <w:p>
      <w:pPr>
        <w:keepNext w:val="0"/>
        <w:spacing w:after="40" w:before="0" w:line="259" w:lineRule="auto"/>
      </w:pPr>
      <w:r>
        <w:rPr>
          <w:rFonts w:ascii="Arial" w:hAnsi="Arial"/>
          <w:color w:val="17211B"/>
          <w:sz w:val="19"/>
        </w:rPr>
        <w:t>Replace accounts.create({ type: "express" }) with the approved Connect account/controller configuration. Onboarding must capture the account ID, relevant capabilities, dashboard access, charges/payout readiness, requirements currently due, restrictions and liability configuration.</w:t>
      </w:r>
    </w:p>
    <w:p>
      <w:pPr>
        <w:keepNext w:val="0"/>
        <w:spacing w:after="40" w:before="0" w:line="259" w:lineRule="auto"/>
      </w:pPr>
      <w:r>
        <w:rPr>
          <w:rFonts w:ascii="Arial" w:hAnsi="Arial"/>
          <w:color w:val="17211B"/>
          <w:sz w:val="19"/>
        </w:rPr>
        <w:t>A newly onboarded recipient has the exact account properties approved in ARCH-01. The app blocks activation or donations when required payment capabilities are unavailable or the account is restricted.</w:t>
      </w:r>
    </w:p>
    <w:p>
      <w:pPr>
        <w:keepNext w:val="0"/>
        <w:spacing w:after="40" w:before="0" w:line="259" w:lineRule="auto"/>
      </w:pPr>
      <w:r>
        <w:rPr>
          <w:rFonts w:ascii="Arial" w:hAnsi="Arial"/>
          <w:color w:val="17211B"/>
          <w:sz w:val="19"/>
        </w:rPr>
        <w:t>convex/stripeConnect.ts, convex/stripeConnectInternal.ts, convex/schema.ts, account/society onboarding UI.</w:t>
      </w:r>
    </w:p>
    <w:p>
      <w:pPr>
        <w:keepNext/>
        <w:spacing w:before="100" w:after="40"/>
      </w:pPr>
      <w:r>
        <w:rPr>
          <w:rFonts w:ascii="Arial" w:hAnsi="Arial"/>
          <w:b/>
          <w:color w:val="168456"/>
          <w:sz w:val="20"/>
        </w:rPr>
        <w:t xml:space="preserve">CONN-02  </w:t>
      </w:r>
      <w:r>
        <w:rPr>
          <w:rFonts w:ascii="Arial" w:hAnsi="Arial"/>
          <w:b/>
          <w:color w:val="17211B"/>
          <w:sz w:val="20"/>
        </w:rPr>
        <w:t>Bind one immutable payment recipient to each campaign</w:t>
      </w:r>
      <w:r>
        <w:rPr>
          <w:rFonts w:ascii="Arial" w:hAnsi="Arial"/>
          <w:b/>
          <w:color w:val="A15C00"/>
          <w:sz w:val="20"/>
        </w:rPr>
        <w:t xml:space="preserve">  [P1]</w:t>
      </w:r>
    </w:p>
    <w:p>
      <w:pPr>
        <w:keepNext w:val="0"/>
        <w:spacing w:after="40" w:before="0" w:line="259" w:lineRule="auto"/>
      </w:pPr>
      <w:r>
        <w:rPr>
          <w:rFonts w:ascii="Arial" w:hAnsi="Arial"/>
          <w:color w:val="17211B"/>
          <w:sz w:val="19"/>
        </w:rPr>
        <w:t>Store the connected account that will receive each campaign’s charges. Prevent silent recipient replacement after the first donation. Any exceptional change must require admin review, an audit event and an explicit migration/reconciliation plan.</w:t>
      </w:r>
    </w:p>
    <w:p>
      <w:pPr>
        <w:keepNext w:val="0"/>
        <w:spacing w:after="40" w:before="0" w:line="259" w:lineRule="auto"/>
      </w:pPr>
      <w:r>
        <w:rPr>
          <w:rFonts w:ascii="Arial" w:hAnsi="Arial"/>
          <w:color w:val="17211B"/>
          <w:sz w:val="19"/>
        </w:rPr>
        <w:t>Every charge can be traced to exactly one campaign and connected account. A recipient cannot be changed through client-supplied values or by changing a society slug.</w:t>
      </w:r>
    </w:p>
    <w:p>
      <w:pPr>
        <w:keepNext w:val="0"/>
        <w:spacing w:after="40" w:before="0" w:line="259" w:lineRule="auto"/>
      </w:pPr>
      <w:r>
        <w:rPr>
          <w:rFonts w:ascii="Arial" w:hAnsi="Arial"/>
          <w:color w:val="17211B"/>
          <w:sz w:val="19"/>
        </w:rPr>
        <w:t>convex/schema.ts, convex/validators.ts, convex/campaigns.ts, convex/campaignCreator.ts, convex/lib/authz.ts.</w:t>
      </w:r>
    </w:p>
    <w:p>
      <w:pPr>
        <w:keepNext/>
        <w:spacing w:before="100" w:after="40"/>
      </w:pPr>
      <w:r>
        <w:rPr>
          <w:rFonts w:ascii="Arial" w:hAnsi="Arial"/>
          <w:b/>
          <w:color w:val="168456"/>
          <w:sz w:val="20"/>
        </w:rPr>
        <w:t xml:space="preserve">PAY-01  </w:t>
      </w:r>
      <w:r>
        <w:rPr>
          <w:rFonts w:ascii="Arial" w:hAnsi="Arial"/>
          <w:b/>
          <w:color w:val="17211B"/>
          <w:sz w:val="20"/>
        </w:rPr>
        <w:t>Create donations in the correct Stripe account context</w:t>
      </w:r>
      <w:r>
        <w:rPr>
          <w:rFonts w:ascii="Arial" w:hAnsi="Arial"/>
          <w:b/>
          <w:color w:val="A15C00"/>
          <w:sz w:val="20"/>
        </w:rPr>
        <w:t xml:space="preserve">  [P1]</w:t>
      </w:r>
    </w:p>
    <w:p>
      <w:pPr>
        <w:keepNext w:val="0"/>
        <w:spacing w:after="40" w:before="0" w:line="259" w:lineRule="auto"/>
      </w:pPr>
      <w:r>
        <w:rPr>
          <w:rFonts w:ascii="Arial" w:hAnsi="Arial"/>
          <w:color w:val="17211B"/>
          <w:sz w:val="19"/>
        </w:rPr>
        <w:t>For the approved direct-charge model, create each PaymentIntent or Checkout Session in the connected account context and add a server-computed application_fee_amount. Never accept the connected account, fee amount or fee percentage directly from the client.</w:t>
      </w:r>
    </w:p>
    <w:p>
      <w:pPr>
        <w:keepNext w:val="0"/>
        <w:spacing w:after="40" w:before="0" w:line="259" w:lineRule="auto"/>
      </w:pPr>
      <w:r>
        <w:rPr>
          <w:rFonts w:ascii="Arial" w:hAnsi="Arial"/>
          <w:color w:val="17211B"/>
          <w:sz w:val="19"/>
        </w:rPr>
        <w:t>Stripe shows the original charge on the intended connected account and the application fee on Dono’s platform. The Convex donation record stores the connected account ID, PaymentIntent ID, Charge ID and fee-policy version.</w:t>
      </w:r>
    </w:p>
    <w:p>
      <w:pPr>
        <w:keepNext w:val="0"/>
        <w:spacing w:after="40" w:before="0" w:line="259" w:lineRule="auto"/>
      </w:pPr>
      <w:r>
        <w:rPr>
          <w:rFonts w:ascii="Arial" w:hAnsi="Arial"/>
          <w:color w:val="17211B"/>
          <w:sz w:val="19"/>
        </w:rPr>
        <w:t>convex/stripe.ts, donate-sheet web/native components, Stripe provider configuration.</w:t>
      </w:r>
    </w:p>
    <w:p>
      <w:pPr>
        <w:keepNext w:val="0"/>
        <w:spacing w:after="60" w:before="0" w:line="259" w:lineRule="auto"/>
      </w:pPr>
      <w:r>
        <w:rPr>
          <w:rFonts w:ascii="Arial" w:hAnsi="Arial"/>
          <w:color w:val="17211B"/>
          <w:sz w:val="19"/>
        </w:rPr>
        <w:t>If ARCH-01 selects indirect charges, replace this ticket with an approved destination/separate-charge design and retain the platform-liability controls in this document.</w:t>
      </w:r>
    </w:p>
    <w:p>
      <w:pPr>
        <w:keepNext/>
        <w:spacing w:before="100" w:after="40"/>
      </w:pPr>
      <w:r>
        <w:rPr>
          <w:rFonts w:ascii="Arial" w:hAnsi="Arial"/>
          <w:b/>
          <w:color w:val="168456"/>
          <w:sz w:val="20"/>
        </w:rPr>
        <w:t xml:space="preserve">PAY-02  </w:t>
      </w:r>
      <w:r>
        <w:rPr>
          <w:rFonts w:ascii="Arial" w:hAnsi="Arial"/>
          <w:b/>
          <w:color w:val="17211B"/>
          <w:sz w:val="20"/>
        </w:rPr>
        <w:t>Remove or isolate campaign payout transfers</w:t>
      </w:r>
      <w:r>
        <w:rPr>
          <w:rFonts w:ascii="Arial" w:hAnsi="Arial"/>
          <w:b/>
          <w:color w:val="A15C00"/>
          <w:sz w:val="20"/>
        </w:rPr>
        <w:t xml:space="preserve">  [P1]</w:t>
      </w:r>
    </w:p>
    <w:p>
      <w:pPr>
        <w:keepNext w:val="0"/>
        <w:spacing w:after="40" w:before="0" w:line="259" w:lineRule="auto"/>
      </w:pPr>
      <w:r>
        <w:rPr>
          <w:rFonts w:ascii="Arial" w:hAnsi="Arial"/>
          <w:color w:val="17211B"/>
          <w:sz w:val="19"/>
        </w:rPr>
        <w:t>Under direct charges, retire scheduleCampaignPayout and campaignPayouts for ordinary campaigns because there is no later platform-to-recipient transfer. Preserve them only behind a separate feature flag for an approved indirect-charge use case.</w:t>
      </w:r>
    </w:p>
    <w:p>
      <w:pPr>
        <w:keepNext w:val="0"/>
        <w:spacing w:after="40" w:before="0" w:line="259" w:lineRule="auto"/>
      </w:pPr>
      <w:r>
        <w:rPr>
          <w:rFonts w:ascii="Arial" w:hAnsi="Arial"/>
          <w:color w:val="17211B"/>
          <w:sz w:val="19"/>
        </w:rPr>
        <w:t>Ordinary campaign funds are never duplicated by both a direct charge and a later transfer. Legacy transfer code cannot be invoked for direct-charge donations.</w:t>
      </w:r>
    </w:p>
    <w:p>
      <w:pPr>
        <w:keepNext w:val="0"/>
        <w:spacing w:after="40" w:before="0" w:line="259" w:lineRule="auto"/>
      </w:pPr>
      <w:r>
        <w:rPr>
          <w:rFonts w:ascii="Arial" w:hAnsi="Arial"/>
          <w:color w:val="17211B"/>
          <w:sz w:val="19"/>
        </w:rPr>
        <w:t>convex/stripeConnect.ts, convex/stripeConnectInternal.ts, convex/schema.ts, campaign/admin UI.</w:t>
      </w:r>
    </w:p>
    <w:p>
      <w:pPr>
        <w:keepNext/>
        <w:spacing w:before="100" w:after="40"/>
      </w:pPr>
      <w:r>
        <w:rPr>
          <w:rFonts w:ascii="Arial" w:hAnsi="Arial"/>
          <w:b/>
          <w:color w:val="168456"/>
          <w:sz w:val="20"/>
        </w:rPr>
        <w:t xml:space="preserve">PAY-03  </w:t>
      </w:r>
      <w:r>
        <w:rPr>
          <w:rFonts w:ascii="Arial" w:hAnsi="Arial"/>
          <w:b/>
          <w:color w:val="17211B"/>
          <w:sz w:val="20"/>
        </w:rPr>
        <w:t>Use integer minor units and immutable monetary fields</w:t>
      </w:r>
      <w:r>
        <w:rPr>
          <w:rFonts w:ascii="Arial" w:hAnsi="Arial"/>
          <w:b/>
          <w:color w:val="A15C00"/>
          <w:sz w:val="20"/>
        </w:rPr>
        <w:t xml:space="preserve">  [P1]</w:t>
      </w:r>
    </w:p>
    <w:p>
      <w:pPr>
        <w:keepNext w:val="0"/>
        <w:spacing w:after="40" w:before="0" w:line="259" w:lineRule="auto"/>
      </w:pPr>
      <w:r>
        <w:rPr>
          <w:rFonts w:ascii="Arial" w:hAnsi="Arial"/>
          <w:color w:val="17211B"/>
          <w:sz w:val="19"/>
        </w:rPr>
        <w:t>Store money in integer pence for all new payment, fee, refund, dispute and transfer records. Keep immutable gross_amount, platform_fee, recipient_gross, refunded_amount, application_fee_refunded and currency fields. Derived display totals must not be the financial ledger.</w:t>
      </w:r>
    </w:p>
    <w:p>
      <w:pPr>
        <w:keepNext w:val="0"/>
        <w:spacing w:after="40" w:before="0" w:line="259" w:lineRule="auto"/>
      </w:pPr>
      <w:r>
        <w:rPr>
          <w:rFonts w:ascii="Arial" w:hAnsi="Arial"/>
          <w:color w:val="17211B"/>
          <w:sz w:val="19"/>
        </w:rPr>
        <w:t>No new Stripe call is calculated from a floating-point pound value. Reconciliation can reproduce every Stripe amount exactly from stored minor-unit fields.</w:t>
      </w:r>
    </w:p>
    <w:p>
      <w:pPr>
        <w:keepNext w:val="0"/>
        <w:spacing w:after="40" w:before="0" w:line="259" w:lineRule="auto"/>
      </w:pPr>
      <w:r>
        <w:rPr>
          <w:rFonts w:ascii="Arial" w:hAnsi="Arial"/>
          <w:color w:val="17211B"/>
          <w:sz w:val="19"/>
        </w:rPr>
        <w:t>convex/lib/donationAmounts.ts, convex/schema.ts, convex/stripe.ts, aggregate and display mappers.</w:t>
      </w:r>
    </w:p>
    <w:p>
      <w:pPr>
        <w:keepNext/>
        <w:spacing w:before="100" w:after="40"/>
      </w:pPr>
      <w:r>
        <w:rPr>
          <w:rFonts w:ascii="Arial" w:hAnsi="Arial"/>
          <w:b/>
          <w:color w:val="168456"/>
          <w:sz w:val="20"/>
        </w:rPr>
        <w:t xml:space="preserve">PAY-04  </w:t>
      </w:r>
      <w:r>
        <w:rPr>
          <w:rFonts w:ascii="Arial" w:hAnsi="Arial"/>
          <w:b/>
          <w:color w:val="17211B"/>
          <w:sz w:val="20"/>
        </w:rPr>
        <w:t>Version and persist the Dono fee policy</w:t>
      </w:r>
      <w:r>
        <w:rPr>
          <w:rFonts w:ascii="Arial" w:hAnsi="Arial"/>
          <w:b/>
          <w:color w:val="A15C00"/>
          <w:sz w:val="20"/>
        </w:rPr>
        <w:t xml:space="preserve">  [P1]</w:t>
      </w:r>
    </w:p>
    <w:p>
      <w:pPr>
        <w:keepNext w:val="0"/>
        <w:spacing w:after="40" w:before="0" w:line="259" w:lineRule="auto"/>
      </w:pPr>
      <w:r>
        <w:rPr>
          <w:rFonts w:ascii="Arial" w:hAnsi="Arial"/>
          <w:color w:val="17211B"/>
          <w:sz w:val="19"/>
        </w:rPr>
        <w:t>Create a server-side fee policy with effective dates and version IDs. Store the policy version and calculated fee on each donation. Support zero-fee campaigns and future fixed-plus-percentage fees without rewriting historical records.</w:t>
      </w:r>
    </w:p>
    <w:p>
      <w:pPr>
        <w:keepNext w:val="0"/>
        <w:spacing w:after="40" w:before="0" w:line="259" w:lineRule="auto"/>
      </w:pPr>
      <w:r>
        <w:rPr>
          <w:rFonts w:ascii="Arial" w:hAnsi="Arial"/>
          <w:color w:val="17211B"/>
          <w:sz w:val="19"/>
        </w:rPr>
        <w:t>Changing the current fee configuration does not change the recorded economics of earlier donations. Donation receipts and admin views display the stored fee treatment.</w:t>
      </w:r>
    </w:p>
    <w:p>
      <w:pPr>
        <w:keepNext w:val="0"/>
        <w:spacing w:after="60" w:before="0" w:line="259" w:lineRule="auto"/>
      </w:pPr>
      <w:r>
        <w:rPr>
          <w:rFonts w:ascii="Arial" w:hAnsi="Arial"/>
          <w:color w:val="17211B"/>
          <w:sz w:val="19"/>
        </w:rPr>
        <w:t>Requires commercial decision on percentage/fixed fee, caps, VAT presentation and fee-refund policy.</w:t>
      </w:r>
    </w:p>
    <w:p>
      <w:pPr>
        <w:pStyle w:val="Heading1"/>
      </w:pPr>
      <w:r>
        <w:t>5. Refund workflow</w:t>
      </w:r>
    </w:p>
    <w:p>
      <w:pPr>
        <w:keepNext w:val="0"/>
        <w:spacing w:after="100" w:before="0" w:line="259" w:lineRule="auto"/>
      </w:pPr>
      <w:r>
        <w:rPr>
          <w:rFonts w:ascii="Arial" w:hAnsi="Arial"/>
          <w:color w:val="17211B"/>
          <w:sz w:val="19"/>
        </w:rPr>
        <w:t>The existing webhook handling is useful as a final-state signal but is not a refund system. Refund requests, decisions and Stripe execution must be represented separately from the donation itself.</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376"/>
            <w:vAlign w:val="center"/>
            <w:tcMar>
              <w:top w:w="90" w:type="dxa"/>
              <w:start w:w="100" w:type="dxa"/>
              <w:bottom w:w="90" w:type="dxa"/>
              <w:end w:w="100" w:type="dxa"/>
            </w:tcMar>
            <w:shd w:fill="168456"/>
          </w:tcPr>
          <w:p>
            <w:pPr>
              <w:spacing w:after="0" w:before="0"/>
            </w:pPr>
            <w:r/>
            <w:r>
              <w:rPr>
                <w:rFonts w:ascii="Arial" w:hAnsi="Arial"/>
                <w:b/>
                <w:color w:val="FFFFFF"/>
                <w:sz w:val="16"/>
              </w:rPr>
              <w:t>Proposed entity</w:t>
            </w:r>
          </w:p>
        </w:tc>
        <w:tc>
          <w:tcPr>
            <w:tcW w:type="dxa" w:w="8208"/>
            <w:vAlign w:val="center"/>
            <w:tcMar>
              <w:top w:w="90" w:type="dxa"/>
              <w:start w:w="100" w:type="dxa"/>
              <w:bottom w:w="90" w:type="dxa"/>
              <w:end w:w="100" w:type="dxa"/>
            </w:tcMar>
            <w:shd w:fill="168456"/>
          </w:tcPr>
          <w:p>
            <w:pPr>
              <w:spacing w:after="0" w:before="0"/>
            </w:pPr>
            <w:r/>
            <w:r>
              <w:rPr>
                <w:rFonts w:ascii="Arial" w:hAnsi="Arial"/>
                <w:b/>
                <w:color w:val="FFFFFF"/>
                <w:sz w:val="16"/>
              </w:rPr>
              <w:t>Minimum fields</w:t>
            </w:r>
          </w:p>
        </w:tc>
      </w:tr>
      <w:tr>
        <w:trPr>
          <w:cantSplit/>
        </w:trPr>
        <w:tc>
          <w:tcPr>
            <w:tcW w:type="dxa" w:w="2376"/>
            <w:vAlign w:val="center"/>
            <w:tcMar>
              <w:top w:w="90" w:type="dxa"/>
              <w:start w:w="100" w:type="dxa"/>
              <w:bottom w:w="90" w:type="dxa"/>
              <w:end w:w="100" w:type="dxa"/>
            </w:tcMar>
            <w:shd w:fill="FFFFFF"/>
          </w:tcPr>
          <w:p>
            <w:pPr>
              <w:spacing w:after="0" w:before="0"/>
            </w:pPr>
            <w:r/>
            <w:r>
              <w:rPr>
                <w:rFonts w:ascii="Arial" w:hAnsi="Arial"/>
                <w:b w:val="0"/>
                <w:color w:val="17211B"/>
                <w:sz w:val="16"/>
              </w:rPr>
              <w:t>refundRequests</w:t>
            </w:r>
          </w:p>
        </w:tc>
        <w:tc>
          <w:tcPr>
            <w:tcW w:type="dxa" w:w="8208"/>
            <w:vAlign w:val="center"/>
            <w:tcMar>
              <w:top w:w="90" w:type="dxa"/>
              <w:start w:w="100" w:type="dxa"/>
              <w:bottom w:w="90" w:type="dxa"/>
              <w:end w:w="100" w:type="dxa"/>
            </w:tcMar>
            <w:shd w:fill="FFFFFF"/>
          </w:tcPr>
          <w:p>
            <w:pPr>
              <w:spacing w:after="0" w:before="0"/>
            </w:pPr>
            <w:r/>
            <w:r>
              <w:rPr>
                <w:rFonts w:ascii="Arial" w:hAnsi="Arial"/>
                <w:b w:val="0"/>
                <w:color w:val="17211B"/>
                <w:sz w:val="16"/>
              </w:rPr>
              <w:t>donation_id; requester_user/email; requested_amount; reason_code; free-text explanation; evidence references; status; responsible_party; reviewer; decision_reason; created/decided timestamps</w:t>
            </w:r>
          </w:p>
        </w:tc>
      </w:tr>
      <w:tr>
        <w:trPr>
          <w:cantSplit/>
        </w:trPr>
        <w:tc>
          <w:tcPr>
            <w:tcW w:type="dxa" w:w="2376"/>
            <w:vAlign w:val="center"/>
            <w:tcMar>
              <w:top w:w="90" w:type="dxa"/>
              <w:start w:w="100" w:type="dxa"/>
              <w:bottom w:w="90" w:type="dxa"/>
              <w:end w:w="100" w:type="dxa"/>
            </w:tcMar>
            <w:shd w:fill="F4F7F5"/>
          </w:tcPr>
          <w:p>
            <w:pPr>
              <w:spacing w:after="0" w:before="0"/>
            </w:pPr>
            <w:r/>
            <w:r>
              <w:rPr>
                <w:rFonts w:ascii="Arial" w:hAnsi="Arial"/>
                <w:b w:val="0"/>
                <w:color w:val="17211B"/>
                <w:sz w:val="16"/>
              </w:rPr>
              <w:t>refundTransactions</w:t>
            </w:r>
          </w:p>
        </w:tc>
        <w:tc>
          <w:tcPr>
            <w:tcW w:type="dxa" w:w="8208"/>
            <w:vAlign w:val="center"/>
            <w:tcMar>
              <w:top w:w="90" w:type="dxa"/>
              <w:start w:w="100" w:type="dxa"/>
              <w:bottom w:w="90" w:type="dxa"/>
              <w:end w:w="100" w:type="dxa"/>
            </w:tcMar>
            <w:shd w:fill="F4F7F5"/>
          </w:tcPr>
          <w:p>
            <w:pPr>
              <w:spacing w:after="0" w:before="0"/>
            </w:pPr>
            <w:r/>
            <w:r>
              <w:rPr>
                <w:rFonts w:ascii="Arial" w:hAnsi="Arial"/>
                <w:b w:val="0"/>
                <w:color w:val="17211B"/>
                <w:sz w:val="16"/>
              </w:rPr>
              <w:t>refund_request_id; Stripe refund ID; amount; application_fee_refunded; status; failure code; idempotency key; created/updated timestamps</w:t>
            </w:r>
          </w:p>
        </w:tc>
      </w:tr>
      <w:tr>
        <w:trPr>
          <w:cantSplit/>
        </w:trPr>
        <w:tc>
          <w:tcPr>
            <w:tcW w:type="dxa" w:w="2376"/>
            <w:vAlign w:val="center"/>
            <w:tcMar>
              <w:top w:w="90" w:type="dxa"/>
              <w:start w:w="100" w:type="dxa"/>
              <w:bottom w:w="90" w:type="dxa"/>
              <w:end w:w="100" w:type="dxa"/>
            </w:tcMar>
            <w:shd w:fill="FFFFFF"/>
          </w:tcPr>
          <w:p>
            <w:pPr>
              <w:spacing w:after="0" w:before="0"/>
            </w:pPr>
            <w:r/>
            <w:r>
              <w:rPr>
                <w:rFonts w:ascii="Arial" w:hAnsi="Arial"/>
                <w:b w:val="0"/>
                <w:color w:val="17211B"/>
                <w:sz w:val="16"/>
              </w:rPr>
              <w:t>donation ledger</w:t>
            </w:r>
          </w:p>
        </w:tc>
        <w:tc>
          <w:tcPr>
            <w:tcW w:type="dxa" w:w="8208"/>
            <w:vAlign w:val="center"/>
            <w:tcMar>
              <w:top w:w="90" w:type="dxa"/>
              <w:start w:w="100" w:type="dxa"/>
              <w:bottom w:w="90" w:type="dxa"/>
              <w:end w:w="100" w:type="dxa"/>
            </w:tcMar>
            <w:shd w:fill="FFFFFF"/>
          </w:tcPr>
          <w:p>
            <w:pPr>
              <w:spacing w:after="0" w:before="0"/>
            </w:pPr>
            <w:r/>
            <w:r>
              <w:rPr>
                <w:rFonts w:ascii="Arial" w:hAnsi="Arial"/>
                <w:b w:val="0"/>
                <w:color w:val="17211B"/>
                <w:sz w:val="16"/>
              </w:rPr>
              <w:t>gross amount; cumulative refunded amount; remaining refundable amount; fully_refunded flag; connected account; fee amounts</w:t>
            </w:r>
          </w:p>
        </w:tc>
      </w:tr>
      <w:tr>
        <w:trPr>
          <w:cantSplit/>
        </w:trPr>
        <w:tc>
          <w:tcPr>
            <w:tcW w:type="dxa" w:w="2376"/>
            <w:vAlign w:val="center"/>
            <w:tcMar>
              <w:top w:w="90" w:type="dxa"/>
              <w:start w:w="100" w:type="dxa"/>
              <w:bottom w:w="90" w:type="dxa"/>
              <w:end w:w="100" w:type="dxa"/>
            </w:tcMar>
            <w:shd w:fill="F4F7F5"/>
          </w:tcPr>
          <w:p>
            <w:pPr>
              <w:spacing w:after="0" w:before="0"/>
            </w:pPr>
            <w:r/>
            <w:r>
              <w:rPr>
                <w:rFonts w:ascii="Arial" w:hAnsi="Arial"/>
                <w:b w:val="0"/>
                <w:color w:val="17211B"/>
                <w:sz w:val="16"/>
              </w:rPr>
              <w:t>audit events</w:t>
            </w:r>
          </w:p>
        </w:tc>
        <w:tc>
          <w:tcPr>
            <w:tcW w:type="dxa" w:w="8208"/>
            <w:vAlign w:val="center"/>
            <w:tcMar>
              <w:top w:w="90" w:type="dxa"/>
              <w:start w:w="100" w:type="dxa"/>
              <w:bottom w:w="90" w:type="dxa"/>
              <w:end w:w="100" w:type="dxa"/>
            </w:tcMar>
            <w:shd w:fill="F4F7F5"/>
          </w:tcPr>
          <w:p>
            <w:pPr>
              <w:spacing w:after="0" w:before="0"/>
            </w:pPr>
            <w:r/>
            <w:r>
              <w:rPr>
                <w:rFonts w:ascii="Arial" w:hAnsi="Arial"/>
                <w:b w:val="0"/>
                <w:color w:val="17211B"/>
                <w:sz w:val="16"/>
              </w:rPr>
              <w:t>actor; action; before/after status; source (user/admin/webhook/system); timestamp; Stripe event ID where relevant</w:t>
            </w:r>
          </w:p>
        </w:tc>
      </w:tr>
    </w:tbl>
    <w:p>
      <w:pPr>
        <w:spacing w:after="40"/>
      </w:pPr>
    </w:p>
    <w:p>
      <w:pPr>
        <w:keepNext/>
        <w:spacing w:before="100" w:after="40"/>
      </w:pPr>
      <w:r>
        <w:rPr>
          <w:rFonts w:ascii="Arial" w:hAnsi="Arial"/>
          <w:b/>
          <w:color w:val="168456"/>
          <w:sz w:val="20"/>
        </w:rPr>
        <w:t xml:space="preserve">REF-01  </w:t>
      </w:r>
      <w:r>
        <w:rPr>
          <w:rFonts w:ascii="Arial" w:hAnsi="Arial"/>
          <w:b/>
          <w:color w:val="17211B"/>
          <w:sz w:val="20"/>
        </w:rPr>
        <w:t>Add a refund request and review state machine</w:t>
      </w:r>
      <w:r>
        <w:rPr>
          <w:rFonts w:ascii="Arial" w:hAnsi="Arial"/>
          <w:b/>
          <w:color w:val="A15C00"/>
          <w:sz w:val="20"/>
        </w:rPr>
        <w:t xml:space="preserve">  [P1]</w:t>
      </w:r>
    </w:p>
    <w:p>
      <w:pPr>
        <w:keepNext w:val="0"/>
        <w:spacing w:after="40" w:before="0" w:line="259" w:lineRule="auto"/>
      </w:pPr>
      <w:r>
        <w:rPr>
          <w:rFonts w:ascii="Arial" w:hAnsi="Arial"/>
          <w:color w:val="17211B"/>
          <w:sz w:val="19"/>
        </w:rPr>
        <w:t>Implement statuses such as requested, awaiting_information, under_review, approved, rejected, executing, succeeded, failed and cancelled. Store who made and decided the request, the requested amount, evidence and the reason. Keep the refund request distinct from the Stripe refund transaction.</w:t>
      </w:r>
    </w:p>
    <w:p>
      <w:pPr>
        <w:keepNext w:val="0"/>
        <w:spacing w:after="40" w:before="0" w:line="259" w:lineRule="auto"/>
      </w:pPr>
      <w:r>
        <w:rPr>
          <w:rFonts w:ascii="Arial" w:hAnsi="Arial"/>
          <w:color w:val="17211B"/>
          <w:sz w:val="19"/>
        </w:rPr>
        <w:t>Every refund visible in Stripe maps to a transaction record; every Dono decision has an actor, reason and timestamp. Rejected requests do not alter campaign totals.</w:t>
      </w:r>
    </w:p>
    <w:p>
      <w:pPr>
        <w:keepNext w:val="0"/>
        <w:spacing w:after="40" w:before="0" w:line="259" w:lineRule="auto"/>
      </w:pPr>
      <w:r>
        <w:rPr>
          <w:rFonts w:ascii="Arial" w:hAnsi="Arial"/>
          <w:color w:val="17211B"/>
          <w:sz w:val="19"/>
        </w:rPr>
        <w:t>convex/schema.ts plus new refund domain modules and donor/admin UI.</w:t>
      </w:r>
    </w:p>
    <w:p>
      <w:pPr>
        <w:keepNext/>
        <w:spacing w:before="100" w:after="40"/>
      </w:pPr>
      <w:r>
        <w:rPr>
          <w:rFonts w:ascii="Arial" w:hAnsi="Arial"/>
          <w:b/>
          <w:color w:val="168456"/>
          <w:sz w:val="20"/>
        </w:rPr>
        <w:t xml:space="preserve">REF-02  </w:t>
      </w:r>
      <w:r>
        <w:rPr>
          <w:rFonts w:ascii="Arial" w:hAnsi="Arial"/>
          <w:b/>
          <w:color w:val="17211B"/>
          <w:sz w:val="20"/>
        </w:rPr>
        <w:t>Implement full and partial Stripe refunds safely</w:t>
      </w:r>
      <w:r>
        <w:rPr>
          <w:rFonts w:ascii="Arial" w:hAnsi="Arial"/>
          <w:b/>
          <w:color w:val="A15C00"/>
          <w:sz w:val="20"/>
        </w:rPr>
        <w:t xml:space="preserve">  [P1]</w:t>
      </w:r>
    </w:p>
    <w:p>
      <w:pPr>
        <w:keepNext w:val="0"/>
        <w:spacing w:after="40" w:before="0" w:line="259" w:lineRule="auto"/>
      </w:pPr>
      <w:r>
        <w:rPr>
          <w:rFonts w:ascii="Arial" w:hAnsi="Arial"/>
          <w:color w:val="17211B"/>
          <w:sz w:val="19"/>
        </w:rPr>
        <w:t>Execute an approved refund against the correct connected-account charge or approved platform charge. Use a deterministic idempotency key. Apply the configured Dono-fee refund rule explicitly. Reject amounts above the remaining refundable balance.</w:t>
      </w:r>
    </w:p>
    <w:p>
      <w:pPr>
        <w:keepNext w:val="0"/>
        <w:spacing w:after="40" w:before="0" w:line="259" w:lineRule="auto"/>
      </w:pPr>
      <w:r>
        <w:rPr>
          <w:rFonts w:ascii="Arial" w:hAnsi="Arial"/>
          <w:color w:val="17211B"/>
          <w:sz w:val="19"/>
        </w:rPr>
        <w:t>Repeated requests or webhook retries cannot create duplicate refunds. Partial refunds are supported and exactly match Stripe. Failure states remain recoverable and visible to administrators.</w:t>
      </w:r>
    </w:p>
    <w:p>
      <w:pPr>
        <w:keepNext w:val="0"/>
        <w:spacing w:after="60" w:before="0" w:line="259" w:lineRule="auto"/>
      </w:pPr>
      <w:r>
        <w:rPr>
          <w:rFonts w:ascii="Arial" w:hAnsi="Arial"/>
          <w:color w:val="17211B"/>
          <w:sz w:val="19"/>
        </w:rPr>
        <w:t>Requires decision on who can approve and who can technically initiate refunds, and on whether Dono’s application fee is returned for each reason category.</w:t>
      </w:r>
    </w:p>
    <w:p>
      <w:pPr>
        <w:keepNext/>
        <w:spacing w:before="100" w:after="40"/>
      </w:pPr>
      <w:r>
        <w:rPr>
          <w:rFonts w:ascii="Arial" w:hAnsi="Arial"/>
          <w:b/>
          <w:color w:val="168456"/>
          <w:sz w:val="20"/>
        </w:rPr>
        <w:t xml:space="preserve">REF-03  </w:t>
      </w:r>
      <w:r>
        <w:rPr>
          <w:rFonts w:ascii="Arial" w:hAnsi="Arial"/>
          <w:b/>
          <w:color w:val="17211B"/>
          <w:sz w:val="20"/>
        </w:rPr>
        <w:t>Correct campaign totals after partial refunds</w:t>
      </w:r>
      <w:r>
        <w:rPr>
          <w:rFonts w:ascii="Arial" w:hAnsi="Arial"/>
          <w:b/>
          <w:color w:val="A15C00"/>
          <w:sz w:val="20"/>
        </w:rPr>
        <w:t xml:space="preserve">  [P1]</w:t>
      </w:r>
    </w:p>
    <w:p>
      <w:pPr>
        <w:keepNext w:val="0"/>
        <w:spacing w:after="40" w:before="0" w:line="259" w:lineRule="auto"/>
      </w:pPr>
      <w:r>
        <w:rPr>
          <w:rFonts w:ascii="Arial" w:hAnsi="Arial"/>
          <w:color w:val="17211B"/>
          <w:sz w:val="19"/>
        </w:rPr>
        <w:t>Subtract only the amount actually refunded. Decrement donor count only when the donation becomes fully refunded and no other successful amount remains. Recalculate funded status according to the approved campaign rules rather than blindly retaining or removing it.</w:t>
      </w:r>
    </w:p>
    <w:p>
      <w:pPr>
        <w:keepNext w:val="0"/>
        <w:spacing w:after="40" w:before="0" w:line="259" w:lineRule="auto"/>
      </w:pPr>
      <w:r>
        <w:rPr>
          <w:rFonts w:ascii="Arial" w:hAnsi="Arial"/>
          <w:color w:val="17211B"/>
          <w:sz w:val="19"/>
        </w:rPr>
        <w:t>Campaign totals equal successful captured amounts minus successful refunds. A £5 refund from a £20 donation leaves £15 and does not remove the donor.</w:t>
      </w:r>
    </w:p>
    <w:p>
      <w:pPr>
        <w:keepNext w:val="0"/>
        <w:spacing w:after="40" w:before="0" w:line="259" w:lineRule="auto"/>
      </w:pPr>
      <w:r>
        <w:rPr>
          <w:rFonts w:ascii="Arial" w:hAnsi="Arial"/>
          <w:color w:val="17211B"/>
          <w:sz w:val="19"/>
        </w:rPr>
        <w:t>convex/stripeInternal.ts, aggregates, campaign status logic, dashboards.</w:t>
      </w:r>
    </w:p>
    <w:p>
      <w:pPr>
        <w:keepNext/>
        <w:spacing w:before="100" w:after="40"/>
      </w:pPr>
      <w:r>
        <w:rPr>
          <w:rFonts w:ascii="Arial" w:hAnsi="Arial"/>
          <w:b/>
          <w:color w:val="168456"/>
          <w:sz w:val="20"/>
        </w:rPr>
        <w:t xml:space="preserve">REF-04  </w:t>
      </w:r>
      <w:r>
        <w:rPr>
          <w:rFonts w:ascii="Arial" w:hAnsi="Arial"/>
          <w:b/>
          <w:color w:val="17211B"/>
          <w:sz w:val="20"/>
        </w:rPr>
        <w:t>Handle insufficient connected-account funds</w:t>
      </w:r>
      <w:r>
        <w:rPr>
          <w:rFonts w:ascii="Arial" w:hAnsi="Arial"/>
          <w:b/>
          <w:color w:val="A15C00"/>
          <w:sz w:val="20"/>
        </w:rPr>
        <w:t xml:space="preserve">  [P1]</w:t>
      </w:r>
    </w:p>
    <w:p>
      <w:pPr>
        <w:keepNext w:val="0"/>
        <w:spacing w:after="40" w:before="0" w:line="259" w:lineRule="auto"/>
      </w:pPr>
      <w:r>
        <w:rPr>
          <w:rFonts w:ascii="Arial" w:hAnsi="Arial"/>
          <w:color w:val="17211B"/>
          <w:sz w:val="19"/>
        </w:rPr>
        <w:t>Surface Stripe failures or negative-balance outcomes rather than marking a refund complete. Define whether the request remains approved-but-unpaid, whether Dono advances funds, whether future payments are offset, and when the campaign account is suspended.</w:t>
      </w:r>
    </w:p>
    <w:p>
      <w:pPr>
        <w:keepNext w:val="0"/>
        <w:spacing w:after="40" w:before="0" w:line="259" w:lineRule="auto"/>
      </w:pPr>
      <w:r>
        <w:rPr>
          <w:rFonts w:ascii="Arial" w:hAnsi="Arial"/>
          <w:color w:val="17211B"/>
          <w:sz w:val="19"/>
        </w:rPr>
        <w:t>The system never tells a donor that a refund succeeded until Stripe confirms it. Admins can identify unpaid approved refunds and the party responsible for funding them.</w:t>
      </w:r>
    </w:p>
    <w:p>
      <w:pPr>
        <w:keepNext w:val="0"/>
        <w:spacing w:after="60" w:before="0" w:line="259" w:lineRule="auto"/>
      </w:pPr>
      <w:r>
        <w:rPr>
          <w:rFonts w:ascii="Arial" w:hAnsi="Arial"/>
          <w:color w:val="17211B"/>
          <w:sz w:val="19"/>
        </w:rPr>
        <w:t>Legal and commercial decision required; do not hard-code Dono as guarantor.</w:t>
      </w:r>
    </w:p>
    <w:p>
      <w:pPr>
        <w:pStyle w:val="Heading1"/>
      </w:pPr>
      <w:r>
        <w:t>6. Chargebacks and disputes</w:t>
      </w:r>
    </w:p>
    <w:tbl>
      <w:tblPr>
        <w:tblW w:type="auto" w:w="0"/>
        <w:jc w:val="center"/>
        <w:tblLayout w:type="autofit"/>
        <w:tblLook w:firstColumn="1" w:firstRow="1" w:lastColumn="0" w:lastRow="0" w:noHBand="0" w:noVBand="1" w:val="04A0"/>
      </w:tblPr>
      <w:tblGrid>
        <w:gridCol w:w="10282"/>
      </w:tblGrid>
      <w:tr>
        <w:tc>
          <w:tcPr>
            <w:tcW w:type="dxa" w:w="10282"/>
            <w:shd w:fill="FDEBEC"/>
            <w:tcMar>
              <w:top w:w="140" w:type="dxa"/>
              <w:start w:w="180" w:type="dxa"/>
              <w:bottom w:w="140" w:type="dxa"/>
              <w:end w:w="180" w:type="dxa"/>
            </w:tcMar>
          </w:tcPr>
          <w:p>
            <w:pPr>
              <w:spacing w:after="60"/>
            </w:pPr>
            <w:r>
              <w:rPr>
                <w:rFonts w:ascii="Arial" w:hAnsi="Arial"/>
                <w:b/>
                <w:color w:val="B3261E"/>
                <w:sz w:val="20"/>
              </w:rPr>
              <w:t>Immediate bug to remove</w:t>
            </w:r>
          </w:p>
          <w:p>
            <w:pPr>
              <w:spacing w:after="0" w:line="252" w:lineRule="auto"/>
            </w:pPr>
            <w:r>
              <w:rPr>
                <w:rFonts w:ascii="Arial" w:hAnsi="Arial"/>
                <w:color w:val="17211B"/>
                <w:sz w:val="18"/>
              </w:rPr>
              <w:t>Do not call markDonationRefunded when charge.dispute.created arrives. A newly opened dispute is provisional and may later be won, lost, withdrawn or partially resolved.</w:t>
            </w:r>
          </w:p>
        </w:tc>
      </w:tr>
    </w:tbl>
    <w:p>
      <w:pPr>
        <w:spacing w:after="20"/>
      </w:pPr>
    </w:p>
    <w:p>
      <w:pPr>
        <w:keepNext/>
        <w:spacing w:before="100" w:after="40"/>
      </w:pPr>
      <w:r>
        <w:rPr>
          <w:rFonts w:ascii="Arial" w:hAnsi="Arial"/>
          <w:b/>
          <w:color w:val="168456"/>
          <w:sz w:val="20"/>
        </w:rPr>
        <w:t xml:space="preserve">DSP-01  </w:t>
      </w:r>
      <w:r>
        <w:rPr>
          <w:rFonts w:ascii="Arial" w:hAnsi="Arial"/>
          <w:b/>
          <w:color w:val="17211B"/>
          <w:sz w:val="20"/>
        </w:rPr>
        <w:t>Create a distinct dispute model</w:t>
      </w:r>
      <w:r>
        <w:rPr>
          <w:rFonts w:ascii="Arial" w:hAnsi="Arial"/>
          <w:b/>
          <w:color w:val="A15C00"/>
          <w:sz w:val="20"/>
        </w:rPr>
        <w:t xml:space="preserve">  [P1]</w:t>
      </w:r>
    </w:p>
    <w:p>
      <w:pPr>
        <w:keepNext w:val="0"/>
        <w:spacing w:after="40" w:before="0" w:line="259" w:lineRule="auto"/>
      </w:pPr>
      <w:r>
        <w:rPr>
          <w:rFonts w:ascii="Arial" w:hAnsi="Arial"/>
          <w:color w:val="17211B"/>
          <w:sz w:val="19"/>
        </w:rPr>
        <w:t>Store Stripe dispute ID, charge/payment IDs, connected account, amount, reason, status, evidence_due_by, evidence submission state, fee amount, funds-withdrawn state, final outcome and timestamps. Link it to the donation without changing refund status.</w:t>
      </w:r>
    </w:p>
    <w:p>
      <w:pPr>
        <w:keepNext w:val="0"/>
        <w:spacing w:after="40" w:before="0" w:line="259" w:lineRule="auto"/>
      </w:pPr>
      <w:r>
        <w:rPr>
          <w:rFonts w:ascii="Arial" w:hAnsi="Arial"/>
          <w:color w:val="17211B"/>
          <w:sz w:val="19"/>
        </w:rPr>
        <w:t>The system distinguishes open, warning, needs_response, under_review, won and lost outcomes. Campaign totals and internal balances change only according to a documented accounting rule.</w:t>
      </w:r>
    </w:p>
    <w:p>
      <w:pPr>
        <w:keepNext w:val="0"/>
        <w:spacing w:after="40" w:before="0" w:line="259" w:lineRule="auto"/>
      </w:pPr>
      <w:r>
        <w:rPr>
          <w:rFonts w:ascii="Arial" w:hAnsi="Arial"/>
          <w:color w:val="17211B"/>
          <w:sz w:val="19"/>
        </w:rPr>
        <w:t>convex/schema.ts, convex/stripeWebhook.ts, new disputes module and admin UI.</w:t>
      </w:r>
    </w:p>
    <w:p>
      <w:pPr>
        <w:keepNext/>
        <w:spacing w:before="100" w:after="40"/>
      </w:pPr>
      <w:r>
        <w:rPr>
          <w:rFonts w:ascii="Arial" w:hAnsi="Arial"/>
          <w:b/>
          <w:color w:val="168456"/>
          <w:sz w:val="20"/>
        </w:rPr>
        <w:t xml:space="preserve">DSP-02  </w:t>
      </w:r>
      <w:r>
        <w:rPr>
          <w:rFonts w:ascii="Arial" w:hAnsi="Arial"/>
          <w:b/>
          <w:color w:val="17211B"/>
          <w:sz w:val="20"/>
        </w:rPr>
        <w:t>Handle the complete Stripe dispute webhook lifecycle</w:t>
      </w:r>
      <w:r>
        <w:rPr>
          <w:rFonts w:ascii="Arial" w:hAnsi="Arial"/>
          <w:b/>
          <w:color w:val="A15C00"/>
          <w:sz w:val="20"/>
        </w:rPr>
        <w:t xml:space="preserve">  [P1]</w:t>
      </w:r>
    </w:p>
    <w:p>
      <w:pPr>
        <w:keepNext w:val="0"/>
        <w:spacing w:after="40" w:before="0" w:line="259" w:lineRule="auto"/>
      </w:pPr>
      <w:r>
        <w:rPr>
          <w:rFonts w:ascii="Arial" w:hAnsi="Arial"/>
          <w:color w:val="17211B"/>
          <w:sz w:val="19"/>
        </w:rPr>
        <w:t>Process the relevant created, updated, funds-withdrawn/reinstated and closed events for the selected charge model. Store Stripe event IDs and make handlers idempotent and safe when events arrive out of order.</w:t>
      </w:r>
    </w:p>
    <w:p>
      <w:pPr>
        <w:keepNext w:val="0"/>
        <w:spacing w:after="40" w:before="0" w:line="259" w:lineRule="auto"/>
      </w:pPr>
      <w:r>
        <w:rPr>
          <w:rFonts w:ascii="Arial" w:hAnsi="Arial"/>
          <w:color w:val="17211B"/>
          <w:sz w:val="19"/>
        </w:rPr>
        <w:t>Replaying any webhook sequence produces one correct final dispute and donation state. Opening a dispute never appears as a completed refund.</w:t>
      </w:r>
    </w:p>
    <w:p>
      <w:pPr>
        <w:keepNext w:val="0"/>
        <w:spacing w:after="40" w:before="0" w:line="259" w:lineRule="auto"/>
      </w:pPr>
      <w:r>
        <w:rPr>
          <w:rFonts w:ascii="Arial" w:hAnsi="Arial"/>
          <w:color w:val="17211B"/>
          <w:sz w:val="19"/>
        </w:rPr>
        <w:t>convex/stripeWebhook.ts, convex/stripeInternal.ts, webhook idempotency utilities.</w:t>
      </w:r>
    </w:p>
    <w:p>
      <w:pPr>
        <w:keepNext/>
        <w:spacing w:before="100" w:after="40"/>
      </w:pPr>
      <w:r>
        <w:rPr>
          <w:rFonts w:ascii="Arial" w:hAnsi="Arial"/>
          <w:b/>
          <w:color w:val="168456"/>
          <w:sz w:val="20"/>
        </w:rPr>
        <w:t xml:space="preserve">DSP-03  </w:t>
      </w:r>
      <w:r>
        <w:rPr>
          <w:rFonts w:ascii="Arial" w:hAnsi="Arial"/>
          <w:b/>
          <w:color w:val="17211B"/>
          <w:sz w:val="20"/>
        </w:rPr>
        <w:t>Give the responsible account a dispute-response route</w:t>
      </w:r>
      <w:r>
        <w:rPr>
          <w:rFonts w:ascii="Arial" w:hAnsi="Arial"/>
          <w:b/>
          <w:color w:val="A15C00"/>
          <w:sz w:val="20"/>
        </w:rPr>
        <w:t xml:space="preserve">  [P1]</w:t>
      </w:r>
    </w:p>
    <w:p>
      <w:pPr>
        <w:keepNext w:val="0"/>
        <w:spacing w:after="40" w:before="0" w:line="259" w:lineRule="auto"/>
      </w:pPr>
      <w:r>
        <w:rPr>
          <w:rFonts w:ascii="Arial" w:hAnsi="Arial"/>
          <w:color w:val="17211B"/>
          <w:sz w:val="19"/>
        </w:rPr>
        <w:t>If the connected account handles its disputes, direct the organiser to the Stripe Dashboard or an approved embedded disputes component. If Dono submits evidence, build a secure evidence collection and submission workflow with deadlines and access controls.</w:t>
      </w:r>
    </w:p>
    <w:p>
      <w:pPr>
        <w:keepNext w:val="0"/>
        <w:spacing w:after="40" w:before="0" w:line="259" w:lineRule="auto"/>
      </w:pPr>
      <w:r>
        <w:rPr>
          <w:rFonts w:ascii="Arial" w:hAnsi="Arial"/>
          <w:color w:val="17211B"/>
          <w:sz w:val="19"/>
        </w:rPr>
        <w:t>The responsible party can see the deadline and submit evidence. Dono staff can determine whether action was completed without accessing more identity or payment data than necessary.</w:t>
      </w:r>
    </w:p>
    <w:p>
      <w:pPr>
        <w:keepNext w:val="0"/>
        <w:spacing w:after="60" w:before="0" w:line="259" w:lineRule="auto"/>
      </w:pPr>
      <w:r>
        <w:rPr>
          <w:rFonts w:ascii="Arial" w:hAnsi="Arial"/>
          <w:color w:val="17211B"/>
          <w:sz w:val="19"/>
        </w:rPr>
        <w:t>ARCH-01 must specify whether Stripe, the recipient or Dono is operationally responsible for disputes.</w:t>
      </w:r>
    </w:p>
    <w:p>
      <w:pPr>
        <w:keepNext/>
        <w:spacing w:before="100" w:after="40"/>
      </w:pPr>
      <w:r>
        <w:rPr>
          <w:rFonts w:ascii="Arial" w:hAnsi="Arial"/>
          <w:b/>
          <w:color w:val="168456"/>
          <w:sz w:val="20"/>
        </w:rPr>
        <w:t xml:space="preserve">DSP-04  </w:t>
      </w:r>
      <w:r>
        <w:rPr>
          <w:rFonts w:ascii="Arial" w:hAnsi="Arial"/>
          <w:b/>
          <w:color w:val="17211B"/>
          <w:sz w:val="20"/>
        </w:rPr>
        <w:t>Account for dispute fees and reversals</w:t>
      </w:r>
      <w:r>
        <w:rPr>
          <w:rFonts w:ascii="Arial" w:hAnsi="Arial"/>
          <w:b/>
          <w:color w:val="A15C00"/>
          <w:sz w:val="20"/>
        </w:rPr>
        <w:t xml:space="preserve">  [P1]</w:t>
      </w:r>
    </w:p>
    <w:p>
      <w:pPr>
        <w:keepNext w:val="0"/>
        <w:spacing w:after="40" w:before="0" w:line="259" w:lineRule="auto"/>
      </w:pPr>
      <w:r>
        <w:rPr>
          <w:rFonts w:ascii="Arial" w:hAnsi="Arial"/>
          <w:color w:val="17211B"/>
          <w:sz w:val="19"/>
        </w:rPr>
        <w:t>Record dispute fees separately from the donation principal. Do not reduce campaign raised totals by fees unless product explicitly displays net funds. If indirect transfers remain, implement transfer reversal/recovery logic and handle reversal failure.</w:t>
      </w:r>
    </w:p>
    <w:p>
      <w:pPr>
        <w:keepNext w:val="0"/>
        <w:spacing w:after="40" w:before="0" w:line="259" w:lineRule="auto"/>
      </w:pPr>
      <w:r>
        <w:rPr>
          <w:rFonts w:ascii="Arial" w:hAnsi="Arial"/>
          <w:color w:val="17211B"/>
          <w:sz w:val="19"/>
        </w:rPr>
        <w:t>The ledger shows principal, processing fee, application fee, dispute fee and recovered amounts separately. Finance can reconcile each case to Stripe.</w:t>
      </w:r>
    </w:p>
    <w:p>
      <w:pPr>
        <w:pStyle w:val="Heading1"/>
      </w:pPr>
      <w:r>
        <w:t>7. Campaign lifecycle, deadlines and moderation</w:t>
      </w:r>
    </w:p>
    <w:p>
      <w:pPr>
        <w:keepNext/>
        <w:spacing w:before="100" w:after="40"/>
      </w:pPr>
      <w:r>
        <w:rPr>
          <w:rFonts w:ascii="Arial" w:hAnsi="Arial"/>
          <w:b/>
          <w:color w:val="168456"/>
          <w:sz w:val="20"/>
        </w:rPr>
        <w:t xml:space="preserve">CMP-01  </w:t>
      </w:r>
      <w:r>
        <w:rPr>
          <w:rFonts w:ascii="Arial" w:hAnsi="Arial"/>
          <w:b/>
          <w:color w:val="17211B"/>
          <w:sz w:val="20"/>
        </w:rPr>
        <w:t>Replace implicit status changes with an explicit state machine</w:t>
      </w:r>
      <w:r>
        <w:rPr>
          <w:rFonts w:ascii="Arial" w:hAnsi="Arial"/>
          <w:b/>
          <w:color w:val="A15C00"/>
          <w:sz w:val="20"/>
        </w:rPr>
        <w:t xml:space="preserve">  [P1]</w:t>
      </w:r>
    </w:p>
    <w:p>
      <w:pPr>
        <w:keepNext w:val="0"/>
        <w:spacing w:after="40" w:before="0" w:line="259" w:lineRule="auto"/>
      </w:pPr>
      <w:r>
        <w:rPr>
          <w:rFonts w:ascii="Arial" w:hAnsi="Arial"/>
          <w:color w:val="17211B"/>
          <w:sz w:val="19"/>
        </w:rPr>
        <w:t>Define allowed transitions for draft, pending_society, pending_admin, active, goal_reached, ended_successful, ended_unsuccessful, suspended, cancelled, payout_or_release_pending, completed and any legally required refunding state. Use one transition service rather than direct patches across files.</w:t>
      </w:r>
    </w:p>
    <w:p>
      <w:pPr>
        <w:keepNext w:val="0"/>
        <w:spacing w:after="40" w:before="0" w:line="259" w:lineRule="auto"/>
      </w:pPr>
      <w:r>
        <w:rPr>
          <w:rFonts w:ascii="Arial" w:hAnsi="Arial"/>
          <w:color w:val="17211B"/>
          <w:sz w:val="19"/>
        </w:rPr>
        <w:t>Invalid transitions fail server-side. Every transition has an actor/source, timestamp and optional reason. Status names reflect operational meaning rather than using “funded” for several different states.</w:t>
      </w:r>
    </w:p>
    <w:p>
      <w:pPr>
        <w:keepNext w:val="0"/>
        <w:spacing w:after="40" w:before="0" w:line="259" w:lineRule="auto"/>
      </w:pPr>
      <w:r>
        <w:rPr>
          <w:rFonts w:ascii="Arial" w:hAnsi="Arial"/>
          <w:color w:val="17211B"/>
          <w:sz w:val="19"/>
        </w:rPr>
        <w:t>convex/validators.ts, campaigns.ts, campaignCreator.ts, campaignVisibility.ts and new lifecycle module.</w:t>
      </w:r>
    </w:p>
    <w:p>
      <w:pPr>
        <w:keepNext/>
        <w:spacing w:before="100" w:after="40"/>
      </w:pPr>
      <w:r>
        <w:rPr>
          <w:rFonts w:ascii="Arial" w:hAnsi="Arial"/>
          <w:b/>
          <w:color w:val="168456"/>
          <w:sz w:val="20"/>
        </w:rPr>
        <w:t xml:space="preserve">CMP-02  </w:t>
      </w:r>
      <w:r>
        <w:rPr>
          <w:rFonts w:ascii="Arial" w:hAnsi="Arial"/>
          <w:b/>
          <w:color w:val="17211B"/>
          <w:sz w:val="20"/>
        </w:rPr>
        <w:t>Implement deadline processing</w:t>
      </w:r>
      <w:r>
        <w:rPr>
          <w:rFonts w:ascii="Arial" w:hAnsi="Arial"/>
          <w:b/>
          <w:color w:val="A15C00"/>
          <w:sz w:val="20"/>
        </w:rPr>
        <w:t xml:space="preserve">  [P1]</w:t>
      </w:r>
    </w:p>
    <w:p>
      <w:pPr>
        <w:keepNext w:val="0"/>
        <w:spacing w:after="40" w:before="0" w:line="259" w:lineRule="auto"/>
      </w:pPr>
      <w:r>
        <w:rPr>
          <w:rFonts w:ascii="Arial" w:hAnsi="Arial"/>
          <w:color w:val="17211B"/>
          <w:sz w:val="19"/>
        </w:rPr>
        <w:t>Add a scheduled job that closes active campaigns at the deadline and applies the approved success/failure rule. Define how time zones, extensions, donations in progress and late Stripe webhooks are handled.</w:t>
      </w:r>
    </w:p>
    <w:p>
      <w:pPr>
        <w:keepNext w:val="0"/>
        <w:spacing w:after="40" w:before="0" w:line="259" w:lineRule="auto"/>
      </w:pPr>
      <w:r>
        <w:rPr>
          <w:rFonts w:ascii="Arial" w:hAnsi="Arial"/>
          <w:color w:val="17211B"/>
          <w:sz w:val="19"/>
        </w:rPr>
        <w:t>A campaign cannot remain active indefinitely after its deadline. The close process is idempotent and produces the same result when retried.</w:t>
      </w:r>
    </w:p>
    <w:p>
      <w:pPr>
        <w:keepNext w:val="0"/>
        <w:spacing w:after="60" w:before="0" w:line="259" w:lineRule="auto"/>
      </w:pPr>
      <w:r>
        <w:rPr>
          <w:rFonts w:ascii="Arial" w:hAnsi="Arial"/>
          <w:color w:val="17211B"/>
          <w:sz w:val="19"/>
        </w:rPr>
        <w:t>ARCH-02 must define unsuccessful-campaign treatment.</w:t>
      </w:r>
    </w:p>
    <w:p>
      <w:pPr>
        <w:keepNext/>
        <w:spacing w:before="100" w:after="40"/>
      </w:pPr>
      <w:r>
        <w:rPr>
          <w:rFonts w:ascii="Arial" w:hAnsi="Arial"/>
          <w:b/>
          <w:color w:val="168456"/>
          <w:sz w:val="20"/>
        </w:rPr>
        <w:t xml:space="preserve">CMP-03  </w:t>
      </w:r>
      <w:r>
        <w:rPr>
          <w:rFonts w:ascii="Arial" w:hAnsi="Arial"/>
          <w:b/>
          <w:color w:val="17211B"/>
          <w:sz w:val="20"/>
        </w:rPr>
        <w:t>Add a financial freeze separate from public take-down</w:t>
      </w:r>
      <w:r>
        <w:rPr>
          <w:rFonts w:ascii="Arial" w:hAnsi="Arial"/>
          <w:b/>
          <w:color w:val="A15C00"/>
          <w:sz w:val="20"/>
        </w:rPr>
        <w:t xml:space="preserve">  [P1]</w:t>
      </w:r>
    </w:p>
    <w:p>
      <w:pPr>
        <w:keepNext w:val="0"/>
        <w:spacing w:after="40" w:before="0" w:line="259" w:lineRule="auto"/>
      </w:pPr>
      <w:r>
        <w:rPr>
          <w:rFonts w:ascii="Arial" w:hAnsi="Arial"/>
          <w:color w:val="17211B"/>
          <w:sz w:val="19"/>
        </w:rPr>
        <w:t>Separate visibility moderation from financial controls. An admin must be able to hide a campaign, stop new donations, freeze refund/payout actions, or flag it for investigation independently.</w:t>
      </w:r>
    </w:p>
    <w:p>
      <w:pPr>
        <w:keepNext w:val="0"/>
        <w:spacing w:after="40" w:before="0" w:line="259" w:lineRule="auto"/>
      </w:pPr>
      <w:r>
        <w:rPr>
          <w:rFonts w:ascii="Arial" w:hAnsi="Arial"/>
          <w:color w:val="17211B"/>
          <w:sz w:val="19"/>
        </w:rPr>
        <w:t>Taking a campaign off public browse does not accidentally restore it to active or silently release funds. Every freeze and unfreeze is audited with a reason.</w:t>
      </w:r>
    </w:p>
    <w:p>
      <w:pPr>
        <w:keepNext w:val="0"/>
        <w:spacing w:after="40" w:before="0" w:line="259" w:lineRule="auto"/>
      </w:pPr>
      <w:r>
        <w:rPr>
          <w:rFonts w:ascii="Arial" w:hAnsi="Arial"/>
          <w:color w:val="17211B"/>
          <w:sz w:val="19"/>
        </w:rPr>
        <w:t>convex/campaigns.ts, validators.ts, admin UI, payment guards.</w:t>
      </w:r>
    </w:p>
    <w:p>
      <w:pPr>
        <w:keepNext/>
        <w:spacing w:before="100" w:after="40"/>
      </w:pPr>
      <w:r>
        <w:rPr>
          <w:rFonts w:ascii="Arial" w:hAnsi="Arial"/>
          <w:b/>
          <w:color w:val="168456"/>
          <w:sz w:val="20"/>
        </w:rPr>
        <w:t xml:space="preserve">CMP-04  </w:t>
      </w:r>
      <w:r>
        <w:rPr>
          <w:rFonts w:ascii="Arial" w:hAnsi="Arial"/>
          <w:b/>
          <w:color w:val="17211B"/>
          <w:sz w:val="20"/>
        </w:rPr>
        <w:t>Prevent material post-donation changes</w:t>
      </w:r>
      <w:r>
        <w:rPr>
          <w:rFonts w:ascii="Arial" w:hAnsi="Arial"/>
          <w:b/>
          <w:color w:val="A15C00"/>
          <w:sz w:val="20"/>
        </w:rPr>
        <w:t xml:space="preserve">  [P1]</w:t>
      </w:r>
    </w:p>
    <w:p>
      <w:pPr>
        <w:keepNext w:val="0"/>
        <w:spacing w:after="40" w:before="0" w:line="259" w:lineRule="auto"/>
      </w:pPr>
      <w:r>
        <w:rPr>
          <w:rFonts w:ascii="Arial" w:hAnsi="Arial"/>
          <w:color w:val="17211B"/>
          <w:sz w:val="19"/>
        </w:rPr>
        <w:t>Lock recipient, goal, purpose and other material terms after the first successful donation, or route changes through admin review with donor notification and any refund right required by policy.</w:t>
      </w:r>
    </w:p>
    <w:p>
      <w:pPr>
        <w:keepNext w:val="0"/>
        <w:spacing w:after="40" w:before="0" w:line="259" w:lineRule="auto"/>
      </w:pPr>
      <w:r>
        <w:rPr>
          <w:rFonts w:ascii="Arial" w:hAnsi="Arial"/>
          <w:color w:val="17211B"/>
          <w:sz w:val="19"/>
        </w:rPr>
        <w:t>A creator cannot materially change the bargain after donations using a normal edit mutation. Non-material updates remain possible.</w:t>
      </w:r>
    </w:p>
    <w:p>
      <w:pPr>
        <w:keepNext/>
        <w:spacing w:before="100" w:after="40"/>
      </w:pPr>
      <w:r>
        <w:rPr>
          <w:rFonts w:ascii="Arial" w:hAnsi="Arial"/>
          <w:b/>
          <w:color w:val="168456"/>
          <w:sz w:val="20"/>
        </w:rPr>
        <w:t xml:space="preserve">CMP-05  </w:t>
      </w:r>
      <w:r>
        <w:rPr>
          <w:rFonts w:ascii="Arial" w:hAnsi="Arial"/>
          <w:b/>
          <w:color w:val="17211B"/>
          <w:sz w:val="20"/>
        </w:rPr>
        <w:t>Define completion evidence and updates</w:t>
      </w:r>
      <w:r>
        <w:rPr>
          <w:rFonts w:ascii="Arial" w:hAnsi="Arial"/>
          <w:b/>
          <w:color w:val="56615A"/>
          <w:sz w:val="20"/>
        </w:rPr>
        <w:t xml:space="preserve">  [P2]</w:t>
      </w:r>
    </w:p>
    <w:p>
      <w:pPr>
        <w:keepNext w:val="0"/>
        <w:spacing w:after="40" w:before="0" w:line="259" w:lineRule="auto"/>
      </w:pPr>
      <w:r>
        <w:rPr>
          <w:rFonts w:ascii="Arial" w:hAnsi="Arial"/>
          <w:color w:val="17211B"/>
          <w:sz w:val="19"/>
        </w:rPr>
        <w:t>Add optional or mandatory completion evidence, receipts, expenditure summaries and campaign updates according to the final Student Campaign Terms. Use secure storage with retention and file-type limits.</w:t>
      </w:r>
    </w:p>
    <w:p>
      <w:pPr>
        <w:keepNext w:val="0"/>
        <w:spacing w:after="40" w:before="0" w:line="259" w:lineRule="auto"/>
      </w:pPr>
      <w:r>
        <w:rPr>
          <w:rFonts w:ascii="Arial" w:hAnsi="Arial"/>
          <w:color w:val="17211B"/>
          <w:sz w:val="19"/>
        </w:rPr>
        <w:t>Required evidence deadlines and missing-evidence escalations are visible to organisers and admins. Public updates never expose private receipts or identity data.</w:t>
      </w:r>
    </w:p>
    <w:p>
      <w:pPr>
        <w:keepNext w:val="0"/>
        <w:spacing w:after="60" w:before="0" w:line="259" w:lineRule="auto"/>
      </w:pPr>
      <w:r>
        <w:rPr>
          <w:rFonts w:ascii="Arial" w:hAnsi="Arial"/>
          <w:color w:val="17211B"/>
          <w:sz w:val="19"/>
        </w:rPr>
        <w:t>Product/legal decision on evidence requirements and update frequency.</w:t>
      </w:r>
    </w:p>
    <w:p>
      <w:pPr>
        <w:pStyle w:val="Heading1"/>
      </w:pPr>
      <w:r>
        <w:t>8. Community Funds</w:t>
      </w:r>
    </w:p>
    <w:tbl>
      <w:tblPr>
        <w:tblW w:type="auto" w:w="0"/>
        <w:jc w:val="center"/>
        <w:tblLayout w:type="autofit"/>
        <w:tblLook w:firstColumn="1" w:firstRow="1" w:lastColumn="0" w:lastRow="0" w:noHBand="0" w:noVBand="1" w:val="04A0"/>
      </w:tblPr>
      <w:tblGrid>
        <w:gridCol w:w="10282"/>
      </w:tblGrid>
      <w:tr>
        <w:tc>
          <w:tcPr>
            <w:tcW w:type="dxa" w:w="10282"/>
            <w:shd w:fill="FFF3CD"/>
            <w:tcMar>
              <w:top w:w="140" w:type="dxa"/>
              <w:start w:w="180" w:type="dxa"/>
              <w:bottom w:w="140" w:type="dxa"/>
              <w:end w:w="180" w:type="dxa"/>
            </w:tcMar>
          </w:tcPr>
          <w:p>
            <w:pPr>
              <w:spacing w:after="60"/>
            </w:pPr>
            <w:r>
              <w:rPr>
                <w:rFonts w:ascii="Arial" w:hAnsi="Arial"/>
                <w:b/>
                <w:color w:val="A15C00"/>
                <w:sz w:val="20"/>
              </w:rPr>
              <w:t>Launch recommendation</w:t>
            </w:r>
          </w:p>
          <w:p>
            <w:pPr>
              <w:spacing w:after="0" w:line="252" w:lineRule="auto"/>
            </w:pPr>
            <w:r>
              <w:rPr>
                <w:rFonts w:ascii="Arial" w:hAnsi="Arial"/>
                <w:color w:val="17211B"/>
                <w:sz w:val="18"/>
              </w:rPr>
              <w:t>Disable Community Fund donations until a separate architecture is approved. A payment that is allocated after receipt across several campaigns is inherently different from a direct payment to one identified recipient.</w:t>
            </w:r>
          </w:p>
        </w:tc>
      </w:tr>
    </w:tbl>
    <w:p>
      <w:pPr>
        <w:spacing w:after="20"/>
      </w:pPr>
    </w:p>
    <w:p>
      <w:pPr>
        <w:keepNext/>
        <w:spacing w:before="100" w:after="40"/>
      </w:pPr>
      <w:r>
        <w:rPr>
          <w:rFonts w:ascii="Arial" w:hAnsi="Arial"/>
          <w:b/>
          <w:color w:val="168456"/>
          <w:sz w:val="20"/>
        </w:rPr>
        <w:t xml:space="preserve">FUND-01  </w:t>
      </w:r>
      <w:r>
        <w:rPr>
          <w:rFonts w:ascii="Arial" w:hAnsi="Arial"/>
          <w:b/>
          <w:color w:val="17211B"/>
          <w:sz w:val="20"/>
        </w:rPr>
        <w:t>Feature-flag or remove Community Fund payments for launch</w:t>
      </w:r>
      <w:r>
        <w:rPr>
          <w:rFonts w:ascii="Arial" w:hAnsi="Arial"/>
          <w:b/>
          <w:color w:val="B3261E"/>
          <w:sz w:val="20"/>
        </w:rPr>
        <w:t xml:space="preserve">  [P0]</w:t>
      </w:r>
    </w:p>
    <w:p>
      <w:pPr>
        <w:keepNext w:val="0"/>
        <w:spacing w:after="40" w:before="0" w:line="259" w:lineRule="auto"/>
      </w:pPr>
      <w:r>
        <w:rPr>
          <w:rFonts w:ascii="Arial" w:hAnsi="Arial"/>
          <w:color w:val="17211B"/>
          <w:sz w:val="19"/>
        </w:rPr>
        <w:t>Prevent real payments through createFundPaymentIntent and fund allocation until legal, accounting and payment responsibility are approved. Public UI may remain read-only only if it cannot create a payment.</w:t>
      </w:r>
    </w:p>
    <w:p>
      <w:pPr>
        <w:keepNext w:val="0"/>
        <w:spacing w:after="40" w:before="0" w:line="259" w:lineRule="auto"/>
      </w:pPr>
      <w:r>
        <w:rPr>
          <w:rFonts w:ascii="Arial" w:hAnsi="Arial"/>
          <w:color w:val="17211B"/>
          <w:sz w:val="19"/>
        </w:rPr>
        <w:t>No production donor can create a Community Fund charge while the feature is unapproved.</w:t>
      </w:r>
    </w:p>
    <w:p>
      <w:pPr>
        <w:keepNext w:val="0"/>
        <w:spacing w:after="40" w:before="0" w:line="259" w:lineRule="auto"/>
      </w:pPr>
      <w:r>
        <w:rPr>
          <w:rFonts w:ascii="Arial" w:hAnsi="Arial"/>
          <w:color w:val="17211B"/>
          <w:sz w:val="19"/>
        </w:rPr>
        <w:t>convex/stripe.ts, convex/stripeFunds.ts, funds UI, feature flag configuration.</w:t>
      </w:r>
    </w:p>
    <w:p>
      <w:pPr>
        <w:keepNext/>
        <w:spacing w:before="100" w:after="40"/>
      </w:pPr>
      <w:r>
        <w:rPr>
          <w:rFonts w:ascii="Arial" w:hAnsi="Arial"/>
          <w:b/>
          <w:color w:val="168456"/>
          <w:sz w:val="20"/>
        </w:rPr>
        <w:t xml:space="preserve">FUND-02  </w:t>
      </w:r>
      <w:r>
        <w:rPr>
          <w:rFonts w:ascii="Arial" w:hAnsi="Arial"/>
          <w:b/>
          <w:color w:val="17211B"/>
          <w:sz w:val="20"/>
        </w:rPr>
        <w:t>Redesign allocation and refund accounting before re-enable</w:t>
      </w:r>
      <w:r>
        <w:rPr>
          <w:rFonts w:ascii="Arial" w:hAnsi="Arial"/>
          <w:b/>
          <w:color w:val="56615A"/>
          <w:sz w:val="20"/>
        </w:rPr>
        <w:t xml:space="preserve">  [P2]</w:t>
      </w:r>
    </w:p>
    <w:p>
      <w:pPr>
        <w:keepNext w:val="0"/>
        <w:spacing w:after="40" w:before="0" w:line="259" w:lineRule="auto"/>
      </w:pPr>
      <w:r>
        <w:rPr>
          <w:rFonts w:ascii="Arial" w:hAnsi="Arial"/>
          <w:color w:val="17211B"/>
          <w:sz w:val="19"/>
        </w:rPr>
        <w:t>If retained, store allocation rules, eligible recipients at payment time, per-recipient minor-unit allocations, rounding, later recipient changes and per-allocation reversals. Never recompute historical allocation from the current campaign list.</w:t>
      </w:r>
    </w:p>
    <w:p>
      <w:pPr>
        <w:keepNext w:val="0"/>
        <w:spacing w:after="40" w:before="0" w:line="259" w:lineRule="auto"/>
      </w:pPr>
      <w:r>
        <w:rPr>
          <w:rFonts w:ascii="Arial" w:hAnsi="Arial"/>
          <w:color w:val="17211B"/>
          <w:sz w:val="19"/>
        </w:rPr>
        <w:t>Each penny of a fund donation is allocated once, historical allocations remain immutable, and refunds or disputes can be traced and recovered across every recipient.</w:t>
      </w:r>
    </w:p>
    <w:p>
      <w:pPr>
        <w:pStyle w:val="Heading1"/>
      </w:pPr>
      <w:r>
        <w:t>9. Identity, privacy and legal consent</w:t>
      </w:r>
    </w:p>
    <w:p>
      <w:pPr>
        <w:keepNext/>
        <w:spacing w:before="100" w:after="40"/>
      </w:pPr>
      <w:r>
        <w:rPr>
          <w:rFonts w:ascii="Arial" w:hAnsi="Arial"/>
          <w:b/>
          <w:color w:val="168456"/>
          <w:sz w:val="20"/>
        </w:rPr>
        <w:t xml:space="preserve">PRIV-01  </w:t>
      </w:r>
      <w:r>
        <w:rPr>
          <w:rFonts w:ascii="Arial" w:hAnsi="Arial"/>
          <w:b/>
          <w:color w:val="17211B"/>
          <w:sz w:val="20"/>
        </w:rPr>
        <w:t>Minimise identity data stored by Dono</w:t>
      </w:r>
      <w:r>
        <w:rPr>
          <w:rFonts w:ascii="Arial" w:hAnsi="Arial"/>
          <w:b/>
          <w:color w:val="A15C00"/>
          <w:sz w:val="20"/>
        </w:rPr>
        <w:t xml:space="preserve">  [P1]</w:t>
      </w:r>
    </w:p>
    <w:p>
      <w:pPr>
        <w:keepNext w:val="0"/>
        <w:spacing w:after="40" w:before="0" w:line="259" w:lineRule="auto"/>
      </w:pPr>
      <w:r>
        <w:rPr>
          <w:rFonts w:ascii="Arial" w:hAnsi="Arial"/>
          <w:color w:val="17211B"/>
          <w:sz w:val="19"/>
        </w:rPr>
        <w:t>Review whether Dono needs to store verified date of birth, full verified name, manual ID documents and supporting documents after Stripe verification or admin review. Store only the minimum approved outputs and replace raw documents with verification status where possible.</w:t>
      </w:r>
    </w:p>
    <w:p>
      <w:pPr>
        <w:keepNext w:val="0"/>
        <w:spacing w:after="40" w:before="0" w:line="259" w:lineRule="auto"/>
      </w:pPr>
      <w:r>
        <w:rPr>
          <w:rFonts w:ascii="Arial" w:hAnsi="Arial"/>
          <w:color w:val="17211B"/>
          <w:sz w:val="19"/>
        </w:rPr>
        <w:t>A documented field-by-field retention basis exists. Unneeded raw identity files and unnecessary DOB data are no longer collected or are deleted on a defined schedule.</w:t>
      </w:r>
    </w:p>
    <w:p>
      <w:pPr>
        <w:keepNext w:val="0"/>
        <w:spacing w:after="40" w:before="0" w:line="259" w:lineRule="auto"/>
      </w:pPr>
      <w:r>
        <w:rPr>
          <w:rFonts w:ascii="Arial" w:hAnsi="Arial"/>
          <w:color w:val="17211B"/>
          <w:sz w:val="19"/>
        </w:rPr>
        <w:t>convex/validators.ts, schema.ts, campaignIdentity.ts, societyIdentity.ts, societies.ts and review UI.</w:t>
      </w:r>
    </w:p>
    <w:p>
      <w:pPr>
        <w:keepNext/>
        <w:spacing w:before="100" w:after="40"/>
      </w:pPr>
      <w:r>
        <w:rPr>
          <w:rFonts w:ascii="Arial" w:hAnsi="Arial"/>
          <w:b/>
          <w:color w:val="168456"/>
          <w:sz w:val="20"/>
        </w:rPr>
        <w:t xml:space="preserve">PRIV-02  </w:t>
      </w:r>
      <w:r>
        <w:rPr>
          <w:rFonts w:ascii="Arial" w:hAnsi="Arial"/>
          <w:b/>
          <w:color w:val="17211B"/>
          <w:sz w:val="20"/>
        </w:rPr>
        <w:t>Implement retention, deletion and access controls</w:t>
      </w:r>
      <w:r>
        <w:rPr>
          <w:rFonts w:ascii="Arial" w:hAnsi="Arial"/>
          <w:b/>
          <w:color w:val="A15C00"/>
          <w:sz w:val="20"/>
        </w:rPr>
        <w:t xml:space="preserve">  [P1]</w:t>
      </w:r>
    </w:p>
    <w:p>
      <w:pPr>
        <w:keepNext w:val="0"/>
        <w:spacing w:after="40" w:before="0" w:line="259" w:lineRule="auto"/>
      </w:pPr>
      <w:r>
        <w:rPr>
          <w:rFonts w:ascii="Arial" w:hAnsi="Arial"/>
          <w:color w:val="17211B"/>
          <w:sz w:val="19"/>
        </w:rPr>
        <w:t>Add expiry/deletion jobs for identity documents, supporting documents, failed verification data and abandoned applications. Restrict generated file URLs to authorised review flows and log admin access to sensitive records.</w:t>
      </w:r>
    </w:p>
    <w:p>
      <w:pPr>
        <w:keepNext w:val="0"/>
        <w:spacing w:after="40" w:before="0" w:line="259" w:lineRule="auto"/>
      </w:pPr>
      <w:r>
        <w:rPr>
          <w:rFonts w:ascii="Arial" w:hAnsi="Arial"/>
          <w:color w:val="17211B"/>
          <w:sz w:val="19"/>
        </w:rPr>
        <w:t>Retention periods are configurable and tested. Public and ordinary-user queries cannot return private document URLs. Deletion produces an audit record without retaining the deleted content.</w:t>
      </w:r>
    </w:p>
    <w:p>
      <w:pPr>
        <w:keepNext/>
        <w:spacing w:before="100" w:after="40"/>
      </w:pPr>
      <w:r>
        <w:rPr>
          <w:rFonts w:ascii="Arial" w:hAnsi="Arial"/>
          <w:b/>
          <w:color w:val="168456"/>
          <w:sz w:val="20"/>
        </w:rPr>
        <w:t xml:space="preserve">PRIV-03  </w:t>
      </w:r>
      <w:r>
        <w:rPr>
          <w:rFonts w:ascii="Arial" w:hAnsi="Arial"/>
          <w:b/>
          <w:color w:val="17211B"/>
          <w:sz w:val="20"/>
        </w:rPr>
        <w:t>Map analytics and storage to consent requirements</w:t>
      </w:r>
      <w:r>
        <w:rPr>
          <w:rFonts w:ascii="Arial" w:hAnsi="Arial"/>
          <w:b/>
          <w:color w:val="56615A"/>
          <w:sz w:val="20"/>
        </w:rPr>
        <w:t xml:space="preserve">  [P2]</w:t>
      </w:r>
    </w:p>
    <w:p>
      <w:pPr>
        <w:keepNext w:val="0"/>
        <w:spacing w:after="40" w:before="0" w:line="259" w:lineRule="auto"/>
      </w:pPr>
      <w:r>
        <w:rPr>
          <w:rFonts w:ascii="Arial" w:hAnsi="Arial"/>
          <w:color w:val="17211B"/>
          <w:sz w:val="19"/>
        </w:rPr>
        <w:t>Document PostHog screen tracking, browser session/local storage, Convex Auth storage, Stripe and Resend data flows. Implement consent or configuration controls required by the final cookie/privacy analysis, especially for web analytics.</w:t>
      </w:r>
    </w:p>
    <w:p>
      <w:pPr>
        <w:keepNext w:val="0"/>
        <w:spacing w:after="40" w:before="0" w:line="259" w:lineRule="auto"/>
      </w:pPr>
      <w:r>
        <w:rPr>
          <w:rFonts w:ascii="Arial" w:hAnsi="Arial"/>
          <w:color w:val="17211B"/>
          <w:sz w:val="19"/>
        </w:rPr>
        <w:t>Production analytics behaviour matches the published notice and consent choice. Auth storage remains necessary-only and is not conflated with analytics consent.</w:t>
      </w:r>
    </w:p>
    <w:p>
      <w:pPr>
        <w:keepNext w:val="0"/>
        <w:spacing w:after="40" w:before="0" w:line="259" w:lineRule="auto"/>
      </w:pPr>
      <w:r>
        <w:rPr>
          <w:rFonts w:ascii="Arial" w:hAnsi="Arial"/>
          <w:color w:val="17211B"/>
          <w:sz w:val="19"/>
        </w:rPr>
        <w:t>app/_layout.tsx, lib/auth-storage.ts, analytics helpers and web consent UI.</w:t>
      </w:r>
    </w:p>
    <w:p>
      <w:pPr>
        <w:keepNext/>
        <w:spacing w:before="100" w:after="40"/>
      </w:pPr>
      <w:r>
        <w:rPr>
          <w:rFonts w:ascii="Arial" w:hAnsi="Arial"/>
          <w:b/>
          <w:color w:val="168456"/>
          <w:sz w:val="20"/>
        </w:rPr>
        <w:t xml:space="preserve">LEG-01  </w:t>
      </w:r>
      <w:r>
        <w:rPr>
          <w:rFonts w:ascii="Arial" w:hAnsi="Arial"/>
          <w:b/>
          <w:color w:val="17211B"/>
          <w:sz w:val="20"/>
        </w:rPr>
        <w:t>Record versioned acceptance of legal documents</w:t>
      </w:r>
      <w:r>
        <w:rPr>
          <w:rFonts w:ascii="Arial" w:hAnsi="Arial"/>
          <w:b/>
          <w:color w:val="A15C00"/>
          <w:sz w:val="20"/>
        </w:rPr>
        <w:t xml:space="preserve">  [P1]</w:t>
      </w:r>
    </w:p>
    <w:p>
      <w:pPr>
        <w:keepNext w:val="0"/>
        <w:spacing w:after="40" w:before="0" w:line="259" w:lineRule="auto"/>
      </w:pPr>
      <w:r>
        <w:rPr>
          <w:rFonts w:ascii="Arial" w:hAnsi="Arial"/>
          <w:color w:val="17211B"/>
          <w:sz w:val="19"/>
        </w:rPr>
        <w:t>Create immutable acceptance records for Terms of Service, Donor Terms, Student Campaign Terms, Refund and Dispute Policy, Privacy acknowledgement and any campaign-specific declarations. Store version, effective date, user, role, timestamp and campaign/donation context.</w:t>
      </w:r>
    </w:p>
    <w:p>
      <w:pPr>
        <w:keepNext w:val="0"/>
        <w:spacing w:after="40" w:before="0" w:line="259" w:lineRule="auto"/>
      </w:pPr>
      <w:r>
        <w:rPr>
          <w:rFonts w:ascii="Arial" w:hAnsi="Arial"/>
          <w:color w:val="17211B"/>
          <w:sz w:val="19"/>
        </w:rPr>
        <w:t>A donation or campaign submission cannot proceed without the required current acceptance. Historical acceptances remain queryable after documents change.</w:t>
      </w:r>
    </w:p>
    <w:p>
      <w:pPr>
        <w:keepNext w:val="0"/>
        <w:spacing w:after="40" w:before="0" w:line="259" w:lineRule="auto"/>
      </w:pPr>
      <w:r>
        <w:rPr>
          <w:rFonts w:ascii="Arial" w:hAnsi="Arial"/>
          <w:color w:val="17211B"/>
          <w:sz w:val="19"/>
        </w:rPr>
        <w:t>convex/schema.ts, auth/onboarding, campaign submit flow and donation confirmation flow.</w:t>
      </w:r>
    </w:p>
    <w:p>
      <w:pPr>
        <w:keepNext/>
        <w:spacing w:before="100" w:after="40"/>
      </w:pPr>
      <w:r>
        <w:rPr>
          <w:rFonts w:ascii="Arial" w:hAnsi="Arial"/>
          <w:b/>
          <w:color w:val="168456"/>
          <w:sz w:val="20"/>
        </w:rPr>
        <w:t xml:space="preserve">LEG-02  </w:t>
      </w:r>
      <w:r>
        <w:rPr>
          <w:rFonts w:ascii="Arial" w:hAnsi="Arial"/>
          <w:b/>
          <w:color w:val="17211B"/>
          <w:sz w:val="20"/>
        </w:rPr>
        <w:t>Capture campaign-owner declarations at submission</w:t>
      </w:r>
      <w:r>
        <w:rPr>
          <w:rFonts w:ascii="Arial" w:hAnsi="Arial"/>
          <w:b/>
          <w:color w:val="A15C00"/>
          <w:sz w:val="20"/>
        </w:rPr>
        <w:t xml:space="preserve">  [P1]</w:t>
      </w:r>
    </w:p>
    <w:p>
      <w:pPr>
        <w:keepNext w:val="0"/>
        <w:spacing w:after="40" w:before="0" w:line="259" w:lineRule="auto"/>
      </w:pPr>
      <w:r>
        <w:rPr>
          <w:rFonts w:ascii="Arial" w:hAnsi="Arial"/>
          <w:color w:val="17211B"/>
          <w:sz w:val="19"/>
        </w:rPr>
        <w:t>Require organisers to confirm authority, accuracy, permitted purpose, use of funds, cooperation with refunds/disputes, ownership/licensing of uploaded content, and any society approval. Persist the declaration version.</w:t>
      </w:r>
    </w:p>
    <w:p>
      <w:pPr>
        <w:keepNext w:val="0"/>
        <w:spacing w:after="40" w:before="0" w:line="259" w:lineRule="auto"/>
      </w:pPr>
      <w:r>
        <w:rPr>
          <w:rFonts w:ascii="Arial" w:hAnsi="Arial"/>
          <w:color w:val="17211B"/>
          <w:sz w:val="19"/>
        </w:rPr>
        <w:t>Admin review shows exactly which declarations were accepted and when. Resubmission after material term changes can require re-acceptance.</w:t>
      </w:r>
    </w:p>
    <w:p>
      <w:pPr>
        <w:pStyle w:val="Heading1"/>
      </w:pPr>
      <w:r>
        <w:t>10. Admin tooling, reconciliation and auditability</w:t>
      </w:r>
    </w:p>
    <w:p>
      <w:pPr>
        <w:keepNext/>
        <w:spacing w:before="100" w:after="40"/>
      </w:pPr>
      <w:r>
        <w:rPr>
          <w:rFonts w:ascii="Arial" w:hAnsi="Arial"/>
          <w:b/>
          <w:color w:val="168456"/>
          <w:sz w:val="20"/>
        </w:rPr>
        <w:t xml:space="preserve">OPS-01  </w:t>
      </w:r>
      <w:r>
        <w:rPr>
          <w:rFonts w:ascii="Arial" w:hAnsi="Arial"/>
          <w:b/>
          <w:color w:val="17211B"/>
          <w:sz w:val="20"/>
        </w:rPr>
        <w:t>Build a payments operations dashboard</w:t>
      </w:r>
      <w:r>
        <w:rPr>
          <w:rFonts w:ascii="Arial" w:hAnsi="Arial"/>
          <w:b/>
          <w:color w:val="A15C00"/>
          <w:sz w:val="20"/>
        </w:rPr>
        <w:t xml:space="preserve">  [P1]</w:t>
      </w:r>
    </w:p>
    <w:p>
      <w:pPr>
        <w:keepNext w:val="0"/>
        <w:spacing w:after="40" w:before="0" w:line="259" w:lineRule="auto"/>
      </w:pPr>
      <w:r>
        <w:rPr>
          <w:rFonts w:ascii="Arial" w:hAnsi="Arial"/>
          <w:color w:val="17211B"/>
          <w:sz w:val="19"/>
        </w:rPr>
        <w:t>Show donations, connected account, charge status, fee breakdown, refund requests/transactions, disputes, restrictions, campaign freezes and unresolved reconciliation errors. Sensitive actions require role checks and reasons.</w:t>
      </w:r>
    </w:p>
    <w:p>
      <w:pPr>
        <w:keepNext w:val="0"/>
        <w:spacing w:after="40" w:before="0" w:line="259" w:lineRule="auto"/>
      </w:pPr>
      <w:r>
        <w:rPr>
          <w:rFonts w:ascii="Arial" w:hAnsi="Arial"/>
          <w:color w:val="17211B"/>
          <w:sz w:val="19"/>
        </w:rPr>
        <w:t>An operator can resolve a payment case without directly editing Convex records. All actions are audited and link to the relevant Stripe object identifiers.</w:t>
      </w:r>
    </w:p>
    <w:p>
      <w:pPr>
        <w:keepNext/>
        <w:spacing w:before="100" w:after="40"/>
      </w:pPr>
      <w:r>
        <w:rPr>
          <w:rFonts w:ascii="Arial" w:hAnsi="Arial"/>
          <w:b/>
          <w:color w:val="168456"/>
          <w:sz w:val="20"/>
        </w:rPr>
        <w:t xml:space="preserve">OPS-02  </w:t>
      </w:r>
      <w:r>
        <w:rPr>
          <w:rFonts w:ascii="Arial" w:hAnsi="Arial"/>
          <w:b/>
          <w:color w:val="17211B"/>
          <w:sz w:val="20"/>
        </w:rPr>
        <w:t>Create an immutable financial event ledger</w:t>
      </w:r>
      <w:r>
        <w:rPr>
          <w:rFonts w:ascii="Arial" w:hAnsi="Arial"/>
          <w:b/>
          <w:color w:val="A15C00"/>
          <w:sz w:val="20"/>
        </w:rPr>
        <w:t xml:space="preserve">  [P1]</w:t>
      </w:r>
    </w:p>
    <w:p>
      <w:pPr>
        <w:keepNext w:val="0"/>
        <w:spacing w:after="40" w:before="0" w:line="259" w:lineRule="auto"/>
      </w:pPr>
      <w:r>
        <w:rPr>
          <w:rFonts w:ascii="Arial" w:hAnsi="Arial"/>
          <w:color w:val="17211B"/>
          <w:sz w:val="19"/>
        </w:rPr>
        <w:t>Record payment succeeded/failed, fee collected/refunded, refund, dispute debit/reinstatement, transfer/reversal and manual adjustment as append-only events. Keep campaign counters as derived caches that can be rebuilt.</w:t>
      </w:r>
    </w:p>
    <w:p>
      <w:pPr>
        <w:keepNext w:val="0"/>
        <w:spacing w:after="40" w:before="0" w:line="259" w:lineRule="auto"/>
      </w:pPr>
      <w:r>
        <w:rPr>
          <w:rFonts w:ascii="Arial" w:hAnsi="Arial"/>
          <w:color w:val="17211B"/>
          <w:sz w:val="19"/>
        </w:rPr>
        <w:t>A reconciliation job can recompute donation and campaign totals from the ledger and report differences without modifying records automatically.</w:t>
      </w:r>
    </w:p>
    <w:p>
      <w:pPr>
        <w:keepNext/>
        <w:spacing w:before="100" w:after="40"/>
      </w:pPr>
      <w:r>
        <w:rPr>
          <w:rFonts w:ascii="Arial" w:hAnsi="Arial"/>
          <w:b/>
          <w:color w:val="168456"/>
          <w:sz w:val="20"/>
        </w:rPr>
        <w:t xml:space="preserve">OPS-03  </w:t>
      </w:r>
      <w:r>
        <w:rPr>
          <w:rFonts w:ascii="Arial" w:hAnsi="Arial"/>
          <w:b/>
          <w:color w:val="17211B"/>
          <w:sz w:val="20"/>
        </w:rPr>
        <w:t>Add webhook observability and replay tools</w:t>
      </w:r>
      <w:r>
        <w:rPr>
          <w:rFonts w:ascii="Arial" w:hAnsi="Arial"/>
          <w:b/>
          <w:color w:val="A15C00"/>
          <w:sz w:val="20"/>
        </w:rPr>
        <w:t xml:space="preserve">  [P1]</w:t>
      </w:r>
    </w:p>
    <w:p>
      <w:pPr>
        <w:keepNext w:val="0"/>
        <w:spacing w:after="40" w:before="0" w:line="259" w:lineRule="auto"/>
      </w:pPr>
      <w:r>
        <w:rPr>
          <w:rFonts w:ascii="Arial" w:hAnsi="Arial"/>
          <w:color w:val="17211B"/>
          <w:sz w:val="19"/>
        </w:rPr>
        <w:t>Store processing status, attempts, error details and connected-account context for Stripe events. Support safe replay of failed events and alert on persistent failures or unknown payment objects.</w:t>
      </w:r>
    </w:p>
    <w:p>
      <w:pPr>
        <w:keepNext w:val="0"/>
        <w:spacing w:after="40" w:before="0" w:line="259" w:lineRule="auto"/>
      </w:pPr>
      <w:r>
        <w:rPr>
          <w:rFonts w:ascii="Arial" w:hAnsi="Arial"/>
          <w:color w:val="17211B"/>
          <w:sz w:val="19"/>
        </w:rPr>
        <w:t>No webhook is marked processed before all required writes succeed. Duplicate events are harmless; failed events are visible and retryable.</w:t>
      </w:r>
    </w:p>
    <w:p>
      <w:pPr>
        <w:keepNext/>
        <w:spacing w:before="100" w:after="40"/>
      </w:pPr>
      <w:r>
        <w:rPr>
          <w:rFonts w:ascii="Arial" w:hAnsi="Arial"/>
          <w:b/>
          <w:color w:val="168456"/>
          <w:sz w:val="20"/>
        </w:rPr>
        <w:t xml:space="preserve">OPS-04  </w:t>
      </w:r>
      <w:r>
        <w:rPr>
          <w:rFonts w:ascii="Arial" w:hAnsi="Arial"/>
          <w:b/>
          <w:color w:val="17211B"/>
          <w:sz w:val="20"/>
        </w:rPr>
        <w:t>Protect privileged payment actions</w:t>
      </w:r>
      <w:r>
        <w:rPr>
          <w:rFonts w:ascii="Arial" w:hAnsi="Arial"/>
          <w:b/>
          <w:color w:val="A15C00"/>
          <w:sz w:val="20"/>
        </w:rPr>
        <w:t xml:space="preserve">  [P1]</w:t>
      </w:r>
    </w:p>
    <w:p>
      <w:pPr>
        <w:keepNext w:val="0"/>
        <w:spacing w:after="40" w:before="0" w:line="259" w:lineRule="auto"/>
      </w:pPr>
      <w:r>
        <w:rPr>
          <w:rFonts w:ascii="Arial" w:hAnsi="Arial"/>
          <w:color w:val="17211B"/>
          <w:sz w:val="19"/>
        </w:rPr>
        <w:t>Require server-side admin or authorised organiser checks for refunds, freezes and account changes. Consider step-up authentication for high-risk actions and ensure outreach/admin identities cannot donate or act as recipients.</w:t>
      </w:r>
    </w:p>
    <w:p>
      <w:pPr>
        <w:keepNext w:val="0"/>
        <w:spacing w:after="40" w:before="0" w:line="259" w:lineRule="auto"/>
      </w:pPr>
      <w:r>
        <w:rPr>
          <w:rFonts w:ascii="Arial" w:hAnsi="Arial"/>
          <w:color w:val="17211B"/>
          <w:sz w:val="19"/>
        </w:rPr>
        <w:t>Client parameters cannot grant access. Security tests cover cross-society access, guessed slugs/IDs and changed recipient account IDs.</w:t>
      </w:r>
    </w:p>
    <w:p>
      <w:pPr>
        <w:pStyle w:val="Heading1"/>
      </w:pPr>
      <w:r>
        <w:t>11. Suggested data model changes</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232"/>
            <w:vAlign w:val="center"/>
            <w:tcMar>
              <w:top w:w="90" w:type="dxa"/>
              <w:start w:w="100" w:type="dxa"/>
              <w:bottom w:w="90" w:type="dxa"/>
              <w:end w:w="100" w:type="dxa"/>
            </w:tcMar>
            <w:shd w:fill="168456"/>
          </w:tcPr>
          <w:p>
            <w:pPr>
              <w:spacing w:after="0" w:before="0"/>
            </w:pPr>
            <w:r/>
            <w:r>
              <w:rPr>
                <w:rFonts w:ascii="Arial" w:hAnsi="Arial"/>
                <w:b/>
                <w:color w:val="FFFFFF"/>
                <w:sz w:val="16"/>
              </w:rPr>
              <w:t>Table/entity</w:t>
            </w:r>
          </w:p>
        </w:tc>
        <w:tc>
          <w:tcPr>
            <w:tcW w:type="dxa" w:w="8352"/>
            <w:vAlign w:val="center"/>
            <w:tcMar>
              <w:top w:w="90" w:type="dxa"/>
              <w:start w:w="100" w:type="dxa"/>
              <w:bottom w:w="90" w:type="dxa"/>
              <w:end w:w="100" w:type="dxa"/>
            </w:tcMar>
            <w:shd w:fill="168456"/>
          </w:tcPr>
          <w:p>
            <w:pPr>
              <w:spacing w:after="0" w:before="0"/>
            </w:pPr>
            <w:r/>
            <w:r>
              <w:rPr>
                <w:rFonts w:ascii="Arial" w:hAnsi="Arial"/>
                <w:b/>
                <w:color w:val="FFFFFF"/>
                <w:sz w:val="16"/>
              </w:rPr>
              <w:t>Key additions or changes</w:t>
            </w:r>
          </w:p>
        </w:tc>
      </w:tr>
      <w:tr>
        <w:trPr>
          <w:cantSplit/>
        </w:trPr>
        <w:tc>
          <w:tcPr>
            <w:tcW w:type="dxa" w:w="2232"/>
            <w:vAlign w:val="center"/>
            <w:tcMar>
              <w:top w:w="90" w:type="dxa"/>
              <w:start w:w="100" w:type="dxa"/>
              <w:bottom w:w="90" w:type="dxa"/>
              <w:end w:w="100" w:type="dxa"/>
            </w:tcMar>
            <w:shd w:fill="FFFFFF"/>
          </w:tcPr>
          <w:p>
            <w:pPr>
              <w:spacing w:after="0" w:before="0"/>
            </w:pPr>
            <w:r/>
            <w:r>
              <w:rPr>
                <w:rFonts w:ascii="Arial" w:hAnsi="Arial"/>
                <w:b w:val="0"/>
                <w:color w:val="17211B"/>
                <w:sz w:val="15"/>
              </w:rPr>
              <w:t>campaigns</w:t>
            </w:r>
          </w:p>
        </w:tc>
        <w:tc>
          <w:tcPr>
            <w:tcW w:type="dxa" w:w="8352"/>
            <w:vAlign w:val="center"/>
            <w:tcMar>
              <w:top w:w="90" w:type="dxa"/>
              <w:start w:w="100" w:type="dxa"/>
              <w:bottom w:w="90" w:type="dxa"/>
              <w:end w:w="100" w:type="dxa"/>
            </w:tcMar>
            <w:shd w:fill="FFFFFF"/>
          </w:tcPr>
          <w:p>
            <w:pPr>
              <w:spacing w:after="0" w:before="0"/>
            </w:pPr>
            <w:r/>
            <w:r>
              <w:rPr>
                <w:rFonts w:ascii="Arial" w:hAnsi="Arial"/>
                <w:b w:val="0"/>
                <w:color w:val="17211B"/>
                <w:sz w:val="15"/>
              </w:rPr>
              <w:t>payment_recipient_account_id; lifecycle_status; donation_enabled; financial_freeze_status/reason; ended_at; outcome; fee_policy_version; material_terms_version</w:t>
            </w:r>
          </w:p>
        </w:tc>
      </w:tr>
      <w:tr>
        <w:trPr>
          <w:cantSplit/>
        </w:trPr>
        <w:tc>
          <w:tcPr>
            <w:tcW w:type="dxa" w:w="2232"/>
            <w:vAlign w:val="center"/>
            <w:tcMar>
              <w:top w:w="90" w:type="dxa"/>
              <w:start w:w="100" w:type="dxa"/>
              <w:bottom w:w="90" w:type="dxa"/>
              <w:end w:w="100" w:type="dxa"/>
            </w:tcMar>
            <w:shd w:fill="F4F7F5"/>
          </w:tcPr>
          <w:p>
            <w:pPr>
              <w:spacing w:after="0" w:before="0"/>
            </w:pPr>
            <w:r/>
            <w:r>
              <w:rPr>
                <w:rFonts w:ascii="Arial" w:hAnsi="Arial"/>
                <w:b w:val="0"/>
                <w:color w:val="17211B"/>
                <w:sz w:val="15"/>
              </w:rPr>
              <w:t>donations</w:t>
            </w:r>
          </w:p>
        </w:tc>
        <w:tc>
          <w:tcPr>
            <w:tcW w:type="dxa" w:w="8352"/>
            <w:vAlign w:val="center"/>
            <w:tcMar>
              <w:top w:w="90" w:type="dxa"/>
              <w:start w:w="100" w:type="dxa"/>
              <w:bottom w:w="90" w:type="dxa"/>
              <w:end w:w="100" w:type="dxa"/>
            </w:tcMar>
            <w:shd w:fill="F4F7F5"/>
          </w:tcPr>
          <w:p>
            <w:pPr>
              <w:spacing w:after="0" w:before="0"/>
            </w:pPr>
            <w:r/>
            <w:r>
              <w:rPr>
                <w:rFonts w:ascii="Arial" w:hAnsi="Arial"/>
                <w:b w:val="0"/>
                <w:color w:val="17211B"/>
                <w:sz w:val="15"/>
              </w:rPr>
              <w:t>amount_minor; currency; connected_account_id; payment_intent_id; charge_id; platform_fee_minor; cumulative_refunded_minor; payment_status separate from dispute status; fee_policy_version</w:t>
            </w:r>
          </w:p>
        </w:tc>
      </w:tr>
      <w:tr>
        <w:trPr>
          <w:cantSplit/>
        </w:trPr>
        <w:tc>
          <w:tcPr>
            <w:tcW w:type="dxa" w:w="2232"/>
            <w:vAlign w:val="center"/>
            <w:tcMar>
              <w:top w:w="90" w:type="dxa"/>
              <w:start w:w="100" w:type="dxa"/>
              <w:bottom w:w="90" w:type="dxa"/>
              <w:end w:w="100" w:type="dxa"/>
            </w:tcMar>
            <w:shd w:fill="FFFFFF"/>
          </w:tcPr>
          <w:p>
            <w:pPr>
              <w:spacing w:after="0" w:before="0"/>
            </w:pPr>
            <w:r/>
            <w:r>
              <w:rPr>
                <w:rFonts w:ascii="Arial" w:hAnsi="Arial"/>
                <w:b w:val="0"/>
                <w:color w:val="17211B"/>
                <w:sz w:val="15"/>
              </w:rPr>
              <w:t>connectedAccounts</w:t>
            </w:r>
          </w:p>
        </w:tc>
        <w:tc>
          <w:tcPr>
            <w:tcW w:type="dxa" w:w="8352"/>
            <w:vAlign w:val="center"/>
            <w:tcMar>
              <w:top w:w="90" w:type="dxa"/>
              <w:start w:w="100" w:type="dxa"/>
              <w:bottom w:w="90" w:type="dxa"/>
              <w:end w:w="100" w:type="dxa"/>
            </w:tcMar>
            <w:shd w:fill="FFFFFF"/>
          </w:tcPr>
          <w:p>
            <w:pPr>
              <w:spacing w:after="0" w:before="0"/>
            </w:pPr>
            <w:r/>
            <w:r>
              <w:rPr>
                <w:rFonts w:ascii="Arial" w:hAnsi="Arial"/>
                <w:b w:val="0"/>
                <w:color w:val="17211B"/>
                <w:sz w:val="15"/>
              </w:rPr>
              <w:t>Stripe account ID; controller/liability snapshot; dashboard type; capability/restriction status; requirements_due; verified_at; last_refreshed_at</w:t>
            </w:r>
          </w:p>
        </w:tc>
      </w:tr>
      <w:tr>
        <w:trPr>
          <w:cantSplit/>
        </w:trPr>
        <w:tc>
          <w:tcPr>
            <w:tcW w:type="dxa" w:w="2232"/>
            <w:vAlign w:val="center"/>
            <w:tcMar>
              <w:top w:w="90" w:type="dxa"/>
              <w:start w:w="100" w:type="dxa"/>
              <w:bottom w:w="90" w:type="dxa"/>
              <w:end w:w="100" w:type="dxa"/>
            </w:tcMar>
            <w:shd w:fill="F4F7F5"/>
          </w:tcPr>
          <w:p>
            <w:pPr>
              <w:spacing w:after="0" w:before="0"/>
            </w:pPr>
            <w:r/>
            <w:r>
              <w:rPr>
                <w:rFonts w:ascii="Arial" w:hAnsi="Arial"/>
                <w:b w:val="0"/>
                <w:color w:val="17211B"/>
                <w:sz w:val="15"/>
              </w:rPr>
              <w:t>refundRequests</w:t>
            </w:r>
          </w:p>
        </w:tc>
        <w:tc>
          <w:tcPr>
            <w:tcW w:type="dxa" w:w="8352"/>
            <w:vAlign w:val="center"/>
            <w:tcMar>
              <w:top w:w="90" w:type="dxa"/>
              <w:start w:w="100" w:type="dxa"/>
              <w:bottom w:w="90" w:type="dxa"/>
              <w:end w:w="100" w:type="dxa"/>
            </w:tcMar>
            <w:shd w:fill="F4F7F5"/>
          </w:tcPr>
          <w:p>
            <w:pPr>
              <w:spacing w:after="0" w:before="0"/>
            </w:pPr>
            <w:r/>
            <w:r>
              <w:rPr>
                <w:rFonts w:ascii="Arial" w:hAnsi="Arial"/>
                <w:b w:val="0"/>
                <w:color w:val="17211B"/>
                <w:sz w:val="15"/>
              </w:rPr>
              <w:t>Request, evidence, amount, reason, fault allocation, decision and actor fields</w:t>
            </w:r>
          </w:p>
        </w:tc>
      </w:tr>
      <w:tr>
        <w:trPr>
          <w:cantSplit/>
        </w:trPr>
        <w:tc>
          <w:tcPr>
            <w:tcW w:type="dxa" w:w="2232"/>
            <w:vAlign w:val="center"/>
            <w:tcMar>
              <w:top w:w="90" w:type="dxa"/>
              <w:start w:w="100" w:type="dxa"/>
              <w:bottom w:w="90" w:type="dxa"/>
              <w:end w:w="100" w:type="dxa"/>
            </w:tcMar>
            <w:shd w:fill="FFFFFF"/>
          </w:tcPr>
          <w:p>
            <w:pPr>
              <w:spacing w:after="0" w:before="0"/>
            </w:pPr>
            <w:r/>
            <w:r>
              <w:rPr>
                <w:rFonts w:ascii="Arial" w:hAnsi="Arial"/>
                <w:b w:val="0"/>
                <w:color w:val="17211B"/>
                <w:sz w:val="15"/>
              </w:rPr>
              <w:t>refundTransactions</w:t>
            </w:r>
          </w:p>
        </w:tc>
        <w:tc>
          <w:tcPr>
            <w:tcW w:type="dxa" w:w="8352"/>
            <w:vAlign w:val="center"/>
            <w:tcMar>
              <w:top w:w="90" w:type="dxa"/>
              <w:start w:w="100" w:type="dxa"/>
              <w:bottom w:w="90" w:type="dxa"/>
              <w:end w:w="100" w:type="dxa"/>
            </w:tcMar>
            <w:shd w:fill="FFFFFF"/>
          </w:tcPr>
          <w:p>
            <w:pPr>
              <w:spacing w:after="0" w:before="0"/>
            </w:pPr>
            <w:r/>
            <w:r>
              <w:rPr>
                <w:rFonts w:ascii="Arial" w:hAnsi="Arial"/>
                <w:b w:val="0"/>
                <w:color w:val="17211B"/>
                <w:sz w:val="15"/>
              </w:rPr>
              <w:t>Stripe refund ID, idempotency key, application-fee treatment and execution state</w:t>
            </w:r>
          </w:p>
        </w:tc>
      </w:tr>
      <w:tr>
        <w:trPr>
          <w:cantSplit/>
        </w:trPr>
        <w:tc>
          <w:tcPr>
            <w:tcW w:type="dxa" w:w="2232"/>
            <w:vAlign w:val="center"/>
            <w:tcMar>
              <w:top w:w="90" w:type="dxa"/>
              <w:start w:w="100" w:type="dxa"/>
              <w:bottom w:w="90" w:type="dxa"/>
              <w:end w:w="100" w:type="dxa"/>
            </w:tcMar>
            <w:shd w:fill="F4F7F5"/>
          </w:tcPr>
          <w:p>
            <w:pPr>
              <w:spacing w:after="0" w:before="0"/>
            </w:pPr>
            <w:r/>
            <w:r>
              <w:rPr>
                <w:rFonts w:ascii="Arial" w:hAnsi="Arial"/>
                <w:b w:val="0"/>
                <w:color w:val="17211B"/>
                <w:sz w:val="15"/>
              </w:rPr>
              <w:t>disputes</w:t>
            </w:r>
          </w:p>
        </w:tc>
        <w:tc>
          <w:tcPr>
            <w:tcW w:type="dxa" w:w="8352"/>
            <w:vAlign w:val="center"/>
            <w:tcMar>
              <w:top w:w="90" w:type="dxa"/>
              <w:start w:w="100" w:type="dxa"/>
              <w:bottom w:w="90" w:type="dxa"/>
              <w:end w:w="100" w:type="dxa"/>
            </w:tcMar>
            <w:shd w:fill="F4F7F5"/>
          </w:tcPr>
          <w:p>
            <w:pPr>
              <w:spacing w:after="0" w:before="0"/>
            </w:pPr>
            <w:r/>
            <w:r>
              <w:rPr>
                <w:rFonts w:ascii="Arial" w:hAnsi="Arial"/>
                <w:b w:val="0"/>
                <w:color w:val="17211B"/>
                <w:sz w:val="15"/>
              </w:rPr>
              <w:t>Stripe dispute ID, status, reason, amount, fee, evidence deadline/state, funds movement and outcome</w:t>
            </w:r>
          </w:p>
        </w:tc>
      </w:tr>
      <w:tr>
        <w:trPr>
          <w:cantSplit/>
        </w:trPr>
        <w:tc>
          <w:tcPr>
            <w:tcW w:type="dxa" w:w="2232"/>
            <w:vAlign w:val="center"/>
            <w:tcMar>
              <w:top w:w="90" w:type="dxa"/>
              <w:start w:w="100" w:type="dxa"/>
              <w:bottom w:w="90" w:type="dxa"/>
              <w:end w:w="100" w:type="dxa"/>
            </w:tcMar>
            <w:shd w:fill="FFFFFF"/>
          </w:tcPr>
          <w:p>
            <w:pPr>
              <w:spacing w:after="0" w:before="0"/>
            </w:pPr>
            <w:r/>
            <w:r>
              <w:rPr>
                <w:rFonts w:ascii="Arial" w:hAnsi="Arial"/>
                <w:b w:val="0"/>
                <w:color w:val="17211B"/>
                <w:sz w:val="15"/>
              </w:rPr>
              <w:t>financialEvents</w:t>
            </w:r>
          </w:p>
        </w:tc>
        <w:tc>
          <w:tcPr>
            <w:tcW w:type="dxa" w:w="8352"/>
            <w:vAlign w:val="center"/>
            <w:tcMar>
              <w:top w:w="90" w:type="dxa"/>
              <w:start w:w="100" w:type="dxa"/>
              <w:bottom w:w="90" w:type="dxa"/>
              <w:end w:w="100" w:type="dxa"/>
            </w:tcMar>
            <w:shd w:fill="FFFFFF"/>
          </w:tcPr>
          <w:p>
            <w:pPr>
              <w:spacing w:after="0" w:before="0"/>
            </w:pPr>
            <w:r/>
            <w:r>
              <w:rPr>
                <w:rFonts w:ascii="Arial" w:hAnsi="Arial"/>
                <w:b w:val="0"/>
                <w:color w:val="17211B"/>
                <w:sz w:val="15"/>
              </w:rPr>
              <w:t>Append-only event type, amount, currency, Stripe object IDs, source event, campaign/donation/account links and created_at</w:t>
            </w:r>
          </w:p>
        </w:tc>
      </w:tr>
      <w:tr>
        <w:trPr>
          <w:cantSplit/>
        </w:trPr>
        <w:tc>
          <w:tcPr>
            <w:tcW w:type="dxa" w:w="2232"/>
            <w:vAlign w:val="center"/>
            <w:tcMar>
              <w:top w:w="90" w:type="dxa"/>
              <w:start w:w="100" w:type="dxa"/>
              <w:bottom w:w="90" w:type="dxa"/>
              <w:end w:w="100" w:type="dxa"/>
            </w:tcMar>
            <w:shd w:fill="F4F7F5"/>
          </w:tcPr>
          <w:p>
            <w:pPr>
              <w:spacing w:after="0" w:before="0"/>
            </w:pPr>
            <w:r/>
            <w:r>
              <w:rPr>
                <w:rFonts w:ascii="Arial" w:hAnsi="Arial"/>
                <w:b w:val="0"/>
                <w:color w:val="17211B"/>
                <w:sz w:val="15"/>
              </w:rPr>
              <w:t>legalAcceptances</w:t>
            </w:r>
          </w:p>
        </w:tc>
        <w:tc>
          <w:tcPr>
            <w:tcW w:type="dxa" w:w="8352"/>
            <w:vAlign w:val="center"/>
            <w:tcMar>
              <w:top w:w="90" w:type="dxa"/>
              <w:start w:w="100" w:type="dxa"/>
              <w:bottom w:w="90" w:type="dxa"/>
              <w:end w:w="100" w:type="dxa"/>
            </w:tcMar>
            <w:shd w:fill="F4F7F5"/>
          </w:tcPr>
          <w:p>
            <w:pPr>
              <w:spacing w:after="0" w:before="0"/>
            </w:pPr>
            <w:r/>
            <w:r>
              <w:rPr>
                <w:rFonts w:ascii="Arial" w:hAnsi="Arial"/>
                <w:b w:val="0"/>
                <w:color w:val="17211B"/>
                <w:sz w:val="15"/>
              </w:rPr>
              <w:t>user_id; document_type; version; effective_date; accepted_at; role/context; campaign_id or donation_id when applicable</w:t>
            </w:r>
          </w:p>
        </w:tc>
      </w:tr>
      <w:tr>
        <w:trPr>
          <w:cantSplit/>
        </w:trPr>
        <w:tc>
          <w:tcPr>
            <w:tcW w:type="dxa" w:w="2232"/>
            <w:vAlign w:val="center"/>
            <w:tcMar>
              <w:top w:w="90" w:type="dxa"/>
              <w:start w:w="100" w:type="dxa"/>
              <w:bottom w:w="90" w:type="dxa"/>
              <w:end w:w="100" w:type="dxa"/>
            </w:tcMar>
            <w:shd w:fill="FFFFFF"/>
          </w:tcPr>
          <w:p>
            <w:pPr>
              <w:spacing w:after="0" w:before="0"/>
            </w:pPr>
            <w:r/>
            <w:r>
              <w:rPr>
                <w:rFonts w:ascii="Arial" w:hAnsi="Arial"/>
                <w:b w:val="0"/>
                <w:color w:val="17211B"/>
                <w:sz w:val="15"/>
              </w:rPr>
              <w:t>sensitiveFileRetention</w:t>
            </w:r>
          </w:p>
        </w:tc>
        <w:tc>
          <w:tcPr>
            <w:tcW w:type="dxa" w:w="8352"/>
            <w:vAlign w:val="center"/>
            <w:tcMar>
              <w:top w:w="90" w:type="dxa"/>
              <w:start w:w="100" w:type="dxa"/>
              <w:bottom w:w="90" w:type="dxa"/>
              <w:end w:w="100" w:type="dxa"/>
            </w:tcMar>
            <w:shd w:fill="FFFFFF"/>
          </w:tcPr>
          <w:p>
            <w:pPr>
              <w:spacing w:after="0" w:before="0"/>
            </w:pPr>
            <w:r/>
            <w:r>
              <w:rPr>
                <w:rFonts w:ascii="Arial" w:hAnsi="Arial"/>
                <w:b w:val="0"/>
                <w:color w:val="17211B"/>
                <w:sz w:val="15"/>
              </w:rPr>
              <w:t>storage_id; category; owner; review status; expires_at; deleted_at; access classification</w:t>
            </w:r>
          </w:p>
        </w:tc>
      </w:tr>
    </w:tbl>
    <w:p>
      <w:pPr>
        <w:spacing w:after="40"/>
      </w:pPr>
    </w:p>
    <w:p>
      <w:pPr>
        <w:keepNext w:val="0"/>
        <w:spacing w:after="100" w:before="0" w:line="259" w:lineRule="auto"/>
      </w:pPr>
      <w:r>
        <w:rPr>
          <w:rFonts w:ascii="Arial" w:hAnsi="Arial"/>
          <w:color w:val="17211B"/>
          <w:sz w:val="19"/>
        </w:rPr>
        <w:t>Naming is illustrative. The team may consolidate tables, but it must preserve immutable monetary history, explicit workflow states and auditability.</w:t>
      </w:r>
    </w:p>
    <w:p>
      <w:pPr>
        <w:pStyle w:val="Heading1"/>
      </w:pPr>
      <w:r>
        <w:t>12. Stripe events and API handling checklist</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232"/>
            <w:vAlign w:val="center"/>
            <w:tcMar>
              <w:top w:w="90" w:type="dxa"/>
              <w:start w:w="100" w:type="dxa"/>
              <w:bottom w:w="90" w:type="dxa"/>
              <w:end w:w="100" w:type="dxa"/>
            </w:tcMar>
            <w:shd w:fill="168456"/>
          </w:tcPr>
          <w:p>
            <w:pPr>
              <w:spacing w:after="0" w:before="0"/>
            </w:pPr>
            <w:r/>
            <w:r>
              <w:rPr>
                <w:rFonts w:ascii="Arial" w:hAnsi="Arial"/>
                <w:b/>
                <w:color w:val="FFFFFF"/>
                <w:sz w:val="16"/>
              </w:rPr>
              <w:t>Event/API area</w:t>
            </w:r>
          </w:p>
        </w:tc>
        <w:tc>
          <w:tcPr>
            <w:tcW w:type="dxa" w:w="8352"/>
            <w:vAlign w:val="center"/>
            <w:tcMar>
              <w:top w:w="90" w:type="dxa"/>
              <w:start w:w="100" w:type="dxa"/>
              <w:bottom w:w="90" w:type="dxa"/>
              <w:end w:w="100" w:type="dxa"/>
            </w:tcMar>
            <w:shd w:fill="168456"/>
          </w:tcPr>
          <w:p>
            <w:pPr>
              <w:spacing w:after="0" w:before="0"/>
            </w:pPr>
            <w:r/>
            <w:r>
              <w:rPr>
                <w:rFonts w:ascii="Arial" w:hAnsi="Arial"/>
                <w:b/>
                <w:color w:val="FFFFFF"/>
                <w:sz w:val="16"/>
              </w:rPr>
              <w:t>Required handling</w:t>
            </w:r>
          </w:p>
        </w:tc>
      </w:tr>
      <w:tr>
        <w:trPr>
          <w:cantSplit/>
        </w:trPr>
        <w:tc>
          <w:tcPr>
            <w:tcW w:type="dxa" w:w="2232"/>
            <w:vAlign w:val="center"/>
            <w:tcMar>
              <w:top w:w="90" w:type="dxa"/>
              <w:start w:w="100" w:type="dxa"/>
              <w:bottom w:w="90" w:type="dxa"/>
              <w:end w:w="100" w:type="dxa"/>
            </w:tcMar>
            <w:shd w:fill="FFFFFF"/>
          </w:tcPr>
          <w:p>
            <w:pPr>
              <w:spacing w:after="0" w:before="0"/>
            </w:pPr>
            <w:r/>
            <w:r>
              <w:rPr>
                <w:rFonts w:ascii="Arial" w:hAnsi="Arial"/>
                <w:b w:val="0"/>
                <w:color w:val="17211B"/>
                <w:sz w:val="16"/>
              </w:rPr>
              <w:t>Payment success/failure</w:t>
            </w:r>
          </w:p>
        </w:tc>
        <w:tc>
          <w:tcPr>
            <w:tcW w:type="dxa" w:w="8352"/>
            <w:vAlign w:val="center"/>
            <w:tcMar>
              <w:top w:w="90" w:type="dxa"/>
              <w:start w:w="100" w:type="dxa"/>
              <w:bottom w:w="90" w:type="dxa"/>
              <w:end w:w="100" w:type="dxa"/>
            </w:tcMar>
            <w:shd w:fill="FFFFFF"/>
          </w:tcPr>
          <w:p>
            <w:pPr>
              <w:spacing w:after="0" w:before="0"/>
            </w:pPr>
            <w:r/>
            <w:r>
              <w:rPr>
                <w:rFonts w:ascii="Arial" w:hAnsi="Arial"/>
                <w:b w:val="0"/>
                <w:color w:val="17211B"/>
                <w:sz w:val="16"/>
              </w:rPr>
              <w:t>Account-scoped PaymentIntent/Charge IDs; idempotent donation creation/finalisation; do not trust client confirmation.</w:t>
            </w:r>
          </w:p>
        </w:tc>
      </w:tr>
      <w:tr>
        <w:trPr>
          <w:cantSplit/>
        </w:trPr>
        <w:tc>
          <w:tcPr>
            <w:tcW w:type="dxa" w:w="2232"/>
            <w:vAlign w:val="center"/>
            <w:tcMar>
              <w:top w:w="90" w:type="dxa"/>
              <w:start w:w="100" w:type="dxa"/>
              <w:bottom w:w="90" w:type="dxa"/>
              <w:end w:w="100" w:type="dxa"/>
            </w:tcMar>
            <w:shd w:fill="F4F7F5"/>
          </w:tcPr>
          <w:p>
            <w:pPr>
              <w:spacing w:after="0" w:before="0"/>
            </w:pPr>
            <w:r/>
            <w:r>
              <w:rPr>
                <w:rFonts w:ascii="Arial" w:hAnsi="Arial"/>
                <w:b w:val="0"/>
                <w:color w:val="17211B"/>
                <w:sz w:val="16"/>
              </w:rPr>
              <w:t>Refunds</w:t>
            </w:r>
          </w:p>
        </w:tc>
        <w:tc>
          <w:tcPr>
            <w:tcW w:type="dxa" w:w="8352"/>
            <w:vAlign w:val="center"/>
            <w:tcMar>
              <w:top w:w="90" w:type="dxa"/>
              <w:start w:w="100" w:type="dxa"/>
              <w:bottom w:w="90" w:type="dxa"/>
              <w:end w:w="100" w:type="dxa"/>
            </w:tcMar>
            <w:shd w:fill="F4F7F5"/>
          </w:tcPr>
          <w:p>
            <w:pPr>
              <w:spacing w:after="0" w:before="0"/>
            </w:pPr>
            <w:r/>
            <w:r>
              <w:rPr>
                <w:rFonts w:ascii="Arial" w:hAnsi="Arial"/>
                <w:b w:val="0"/>
                <w:color w:val="17211B"/>
                <w:sz w:val="16"/>
              </w:rPr>
              <w:t>requested/updated/failed/succeeded as supported; cumulative partial amounts; application-fee refund; campaign ledger update only on confirmed success.</w:t>
            </w:r>
          </w:p>
        </w:tc>
      </w:tr>
      <w:tr>
        <w:trPr>
          <w:cantSplit/>
        </w:trPr>
        <w:tc>
          <w:tcPr>
            <w:tcW w:type="dxa" w:w="2232"/>
            <w:vAlign w:val="center"/>
            <w:tcMar>
              <w:top w:w="90" w:type="dxa"/>
              <w:start w:w="100" w:type="dxa"/>
              <w:bottom w:w="90" w:type="dxa"/>
              <w:end w:w="100" w:type="dxa"/>
            </w:tcMar>
            <w:shd w:fill="FFFFFF"/>
          </w:tcPr>
          <w:p>
            <w:pPr>
              <w:spacing w:after="0" w:before="0"/>
            </w:pPr>
            <w:r/>
            <w:r>
              <w:rPr>
                <w:rFonts w:ascii="Arial" w:hAnsi="Arial"/>
                <w:b w:val="0"/>
                <w:color w:val="17211B"/>
                <w:sz w:val="16"/>
              </w:rPr>
              <w:t>Disputes</w:t>
            </w:r>
          </w:p>
        </w:tc>
        <w:tc>
          <w:tcPr>
            <w:tcW w:type="dxa" w:w="8352"/>
            <w:vAlign w:val="center"/>
            <w:tcMar>
              <w:top w:w="90" w:type="dxa"/>
              <w:start w:w="100" w:type="dxa"/>
              <w:bottom w:w="90" w:type="dxa"/>
              <w:end w:w="100" w:type="dxa"/>
            </w:tcMar>
            <w:shd w:fill="FFFFFF"/>
          </w:tcPr>
          <w:p>
            <w:pPr>
              <w:spacing w:after="0" w:before="0"/>
            </w:pPr>
            <w:r/>
            <w:r>
              <w:rPr>
                <w:rFonts w:ascii="Arial" w:hAnsi="Arial"/>
                <w:b w:val="0"/>
                <w:color w:val="17211B"/>
                <w:sz w:val="16"/>
              </w:rPr>
              <w:t>created, updated, funds movement and closed/final outcome; account context; evidence deadline; fee accounting.</w:t>
            </w:r>
          </w:p>
        </w:tc>
      </w:tr>
      <w:tr>
        <w:trPr>
          <w:cantSplit/>
        </w:trPr>
        <w:tc>
          <w:tcPr>
            <w:tcW w:type="dxa" w:w="2232"/>
            <w:vAlign w:val="center"/>
            <w:tcMar>
              <w:top w:w="90" w:type="dxa"/>
              <w:start w:w="100" w:type="dxa"/>
              <w:bottom w:w="90" w:type="dxa"/>
              <w:end w:w="100" w:type="dxa"/>
            </w:tcMar>
            <w:shd w:fill="F4F7F5"/>
          </w:tcPr>
          <w:p>
            <w:pPr>
              <w:spacing w:after="0" w:before="0"/>
            </w:pPr>
            <w:r/>
            <w:r>
              <w:rPr>
                <w:rFonts w:ascii="Arial" w:hAnsi="Arial"/>
                <w:b w:val="0"/>
                <w:color w:val="17211B"/>
                <w:sz w:val="16"/>
              </w:rPr>
              <w:t>Connected account updates</w:t>
            </w:r>
          </w:p>
        </w:tc>
        <w:tc>
          <w:tcPr>
            <w:tcW w:type="dxa" w:w="8352"/>
            <w:vAlign w:val="center"/>
            <w:tcMar>
              <w:top w:w="90" w:type="dxa"/>
              <w:start w:w="100" w:type="dxa"/>
              <w:bottom w:w="90" w:type="dxa"/>
              <w:end w:w="100" w:type="dxa"/>
            </w:tcMar>
            <w:shd w:fill="F4F7F5"/>
          </w:tcPr>
          <w:p>
            <w:pPr>
              <w:spacing w:after="0" w:before="0"/>
            </w:pPr>
            <w:r/>
            <w:r>
              <w:rPr>
                <w:rFonts w:ascii="Arial" w:hAnsi="Arial"/>
                <w:b w:val="0"/>
                <w:color w:val="17211B"/>
                <w:sz w:val="16"/>
              </w:rPr>
              <w:t>capabilities, requirements, restrictions, payouts/charges readiness and deauthorisation/disconnection.</w:t>
            </w:r>
          </w:p>
        </w:tc>
      </w:tr>
      <w:tr>
        <w:trPr>
          <w:cantSplit/>
        </w:trPr>
        <w:tc>
          <w:tcPr>
            <w:tcW w:type="dxa" w:w="2232"/>
            <w:vAlign w:val="center"/>
            <w:tcMar>
              <w:top w:w="90" w:type="dxa"/>
              <w:start w:w="100" w:type="dxa"/>
              <w:bottom w:w="90" w:type="dxa"/>
              <w:end w:w="100" w:type="dxa"/>
            </w:tcMar>
            <w:shd w:fill="FFFFFF"/>
          </w:tcPr>
          <w:p>
            <w:pPr>
              <w:spacing w:after="0" w:before="0"/>
            </w:pPr>
            <w:r/>
            <w:r>
              <w:rPr>
                <w:rFonts w:ascii="Arial" w:hAnsi="Arial"/>
                <w:b w:val="0"/>
                <w:color w:val="17211B"/>
                <w:sz w:val="16"/>
              </w:rPr>
              <w:t>Transfers/reversals</w:t>
            </w:r>
          </w:p>
        </w:tc>
        <w:tc>
          <w:tcPr>
            <w:tcW w:type="dxa" w:w="8352"/>
            <w:vAlign w:val="center"/>
            <w:tcMar>
              <w:top w:w="90" w:type="dxa"/>
              <w:start w:w="100" w:type="dxa"/>
              <w:bottom w:w="90" w:type="dxa"/>
              <w:end w:w="100" w:type="dxa"/>
            </w:tcMar>
            <w:shd w:fill="FFFFFF"/>
          </w:tcPr>
          <w:p>
            <w:pPr>
              <w:spacing w:after="0" w:before="0"/>
            </w:pPr>
            <w:r/>
            <w:r>
              <w:rPr>
                <w:rFonts w:ascii="Arial" w:hAnsi="Arial"/>
                <w:b w:val="0"/>
                <w:color w:val="17211B"/>
                <w:sz w:val="16"/>
              </w:rPr>
              <w:t>Only for an approved indirect-charge path; link to source charge, record failures and reverse for refunds/disputes when possible.</w:t>
            </w:r>
          </w:p>
        </w:tc>
      </w:tr>
      <w:tr>
        <w:trPr>
          <w:cantSplit/>
        </w:trPr>
        <w:tc>
          <w:tcPr>
            <w:tcW w:type="dxa" w:w="2232"/>
            <w:vAlign w:val="center"/>
            <w:tcMar>
              <w:top w:w="90" w:type="dxa"/>
              <w:start w:w="100" w:type="dxa"/>
              <w:bottom w:w="90" w:type="dxa"/>
              <w:end w:w="100" w:type="dxa"/>
            </w:tcMar>
            <w:shd w:fill="F4F7F5"/>
          </w:tcPr>
          <w:p>
            <w:pPr>
              <w:spacing w:after="0" w:before="0"/>
            </w:pPr>
            <w:r/>
            <w:r>
              <w:rPr>
                <w:rFonts w:ascii="Arial" w:hAnsi="Arial"/>
                <w:b w:val="0"/>
                <w:color w:val="17211B"/>
                <w:sz w:val="16"/>
              </w:rPr>
              <w:t>Webhook mechanics</w:t>
            </w:r>
          </w:p>
        </w:tc>
        <w:tc>
          <w:tcPr>
            <w:tcW w:type="dxa" w:w="8352"/>
            <w:vAlign w:val="center"/>
            <w:tcMar>
              <w:top w:w="90" w:type="dxa"/>
              <w:start w:w="100" w:type="dxa"/>
              <w:bottom w:w="90" w:type="dxa"/>
              <w:end w:w="100" w:type="dxa"/>
            </w:tcMar>
            <w:shd w:fill="F4F7F5"/>
          </w:tcPr>
          <w:p>
            <w:pPr>
              <w:spacing w:after="0" w:before="0"/>
            </w:pPr>
            <w:r/>
            <w:r>
              <w:rPr>
                <w:rFonts w:ascii="Arial" w:hAnsi="Arial"/>
                <w:b w:val="0"/>
                <w:color w:val="17211B"/>
                <w:sz w:val="16"/>
              </w:rPr>
              <w:t>Verify signature; store event.account; process atomically; mark processed last; tolerate duplicates/out-of-order delivery; replay failures.</w:t>
            </w:r>
          </w:p>
        </w:tc>
      </w:tr>
      <w:tr>
        <w:trPr>
          <w:cantSplit/>
        </w:trPr>
        <w:tc>
          <w:tcPr>
            <w:tcW w:type="dxa" w:w="2232"/>
            <w:vAlign w:val="center"/>
            <w:tcMar>
              <w:top w:w="90" w:type="dxa"/>
              <w:start w:w="100" w:type="dxa"/>
              <w:bottom w:w="90" w:type="dxa"/>
              <w:end w:w="100" w:type="dxa"/>
            </w:tcMar>
            <w:shd w:fill="FFFFFF"/>
          </w:tcPr>
          <w:p>
            <w:pPr>
              <w:spacing w:after="0" w:before="0"/>
            </w:pPr>
            <w:r/>
            <w:r>
              <w:rPr>
                <w:rFonts w:ascii="Arial" w:hAnsi="Arial"/>
                <w:b w:val="0"/>
                <w:color w:val="17211B"/>
                <w:sz w:val="16"/>
              </w:rPr>
              <w:t>Idempotency</w:t>
            </w:r>
          </w:p>
        </w:tc>
        <w:tc>
          <w:tcPr>
            <w:tcW w:type="dxa" w:w="8352"/>
            <w:vAlign w:val="center"/>
            <w:tcMar>
              <w:top w:w="90" w:type="dxa"/>
              <w:start w:w="100" w:type="dxa"/>
              <w:bottom w:w="90" w:type="dxa"/>
              <w:end w:w="100" w:type="dxa"/>
            </w:tcMar>
            <w:shd w:fill="FFFFFF"/>
          </w:tcPr>
          <w:p>
            <w:pPr>
              <w:spacing w:after="0" w:before="0"/>
            </w:pPr>
            <w:r/>
            <w:r>
              <w:rPr>
                <w:rFonts w:ascii="Arial" w:hAnsi="Arial"/>
                <w:b w:val="0"/>
                <w:color w:val="17211B"/>
                <w:sz w:val="16"/>
              </w:rPr>
              <w:t>Deterministic keys for PaymentIntent creation, refund execution, transfer/reversal and account onboarding operations.</w:t>
            </w:r>
          </w:p>
        </w:tc>
      </w:tr>
    </w:tbl>
    <w:p>
      <w:pPr>
        <w:spacing w:after="40"/>
      </w:pPr>
    </w:p>
    <w:p>
      <w:pPr>
        <w:pStyle w:val="Heading1"/>
      </w:pPr>
      <w:r>
        <w:t>13. Likely repository impact map</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3240"/>
            <w:vAlign w:val="center"/>
            <w:tcMar>
              <w:top w:w="90" w:type="dxa"/>
              <w:start w:w="100" w:type="dxa"/>
              <w:bottom w:w="90" w:type="dxa"/>
              <w:end w:w="100" w:type="dxa"/>
            </w:tcMar>
            <w:shd w:fill="168456"/>
          </w:tcPr>
          <w:p>
            <w:pPr>
              <w:spacing w:after="0" w:before="0"/>
            </w:pPr>
            <w:r/>
            <w:r>
              <w:rPr>
                <w:rFonts w:ascii="Arial" w:hAnsi="Arial"/>
                <w:b/>
                <w:color w:val="FFFFFF"/>
                <w:sz w:val="16"/>
              </w:rPr>
              <w:t>Current file/area</w:t>
            </w:r>
          </w:p>
        </w:tc>
        <w:tc>
          <w:tcPr>
            <w:tcW w:type="dxa" w:w="7344"/>
            <w:vAlign w:val="center"/>
            <w:tcMar>
              <w:top w:w="90" w:type="dxa"/>
              <w:start w:w="100" w:type="dxa"/>
              <w:bottom w:w="90" w:type="dxa"/>
              <w:end w:w="100" w:type="dxa"/>
            </w:tcMar>
            <w:shd w:fill="168456"/>
          </w:tcPr>
          <w:p>
            <w:pPr>
              <w:spacing w:after="0" w:before="0"/>
            </w:pPr>
            <w:r/>
            <w:r>
              <w:rPr>
                <w:rFonts w:ascii="Arial" w:hAnsi="Arial"/>
                <w:b/>
                <w:color w:val="FFFFFF"/>
                <w:sz w:val="16"/>
              </w:rPr>
              <w:t>Expected change</w:t>
            </w:r>
          </w:p>
        </w:tc>
      </w:tr>
      <w:tr>
        <w:trPr>
          <w:cantSplit/>
        </w:trPr>
        <w:tc>
          <w:tcPr>
            <w:tcW w:type="dxa" w:w="3240"/>
            <w:vAlign w:val="center"/>
            <w:tcMar>
              <w:top w:w="90" w:type="dxa"/>
              <w:start w:w="100" w:type="dxa"/>
              <w:bottom w:w="90" w:type="dxa"/>
              <w:end w:w="100" w:type="dxa"/>
            </w:tcMar>
            <w:shd w:fill="FFFFFF"/>
          </w:tcPr>
          <w:p>
            <w:pPr>
              <w:spacing w:after="0" w:before="0"/>
            </w:pPr>
            <w:r/>
            <w:r>
              <w:rPr>
                <w:rFonts w:ascii="Arial" w:hAnsi="Arial"/>
                <w:b w:val="0"/>
                <w:color w:val="17211B"/>
                <w:sz w:val="15"/>
              </w:rPr>
              <w:t>convex/stripeConnect.ts</w:t>
            </w:r>
          </w:p>
        </w:tc>
        <w:tc>
          <w:tcPr>
            <w:tcW w:type="dxa" w:w="7344"/>
            <w:vAlign w:val="center"/>
            <w:tcMar>
              <w:top w:w="90" w:type="dxa"/>
              <w:start w:w="100" w:type="dxa"/>
              <w:bottom w:w="90" w:type="dxa"/>
              <w:end w:w="100" w:type="dxa"/>
            </w:tcMar>
            <w:shd w:fill="FFFFFF"/>
          </w:tcPr>
          <w:p>
            <w:pPr>
              <w:spacing w:after="0" w:before="0"/>
            </w:pPr>
            <w:r/>
            <w:r>
              <w:rPr>
                <w:rFonts w:ascii="Arial" w:hAnsi="Arial"/>
                <w:b w:val="0"/>
                <w:color w:val="17211B"/>
                <w:sz w:val="15"/>
              </w:rPr>
              <w:t>Replace Express creation; approved account onboarding; remove ordinary campaign payout transfer path.</w:t>
            </w:r>
          </w:p>
        </w:tc>
      </w:tr>
      <w:tr>
        <w:trPr>
          <w:cantSplit/>
        </w:trPr>
        <w:tc>
          <w:tcPr>
            <w:tcW w:type="dxa" w:w="3240"/>
            <w:vAlign w:val="center"/>
            <w:tcMar>
              <w:top w:w="90" w:type="dxa"/>
              <w:start w:w="100" w:type="dxa"/>
              <w:bottom w:w="90" w:type="dxa"/>
              <w:end w:w="100" w:type="dxa"/>
            </w:tcMar>
            <w:shd w:fill="F4F7F5"/>
          </w:tcPr>
          <w:p>
            <w:pPr>
              <w:spacing w:after="0" w:before="0"/>
            </w:pPr>
            <w:r/>
            <w:r>
              <w:rPr>
                <w:rFonts w:ascii="Arial" w:hAnsi="Arial"/>
                <w:b w:val="0"/>
                <w:color w:val="17211B"/>
                <w:sz w:val="15"/>
              </w:rPr>
              <w:t>convex/stripeConnectInternal.ts</w:t>
            </w:r>
          </w:p>
        </w:tc>
        <w:tc>
          <w:tcPr>
            <w:tcW w:type="dxa" w:w="7344"/>
            <w:vAlign w:val="center"/>
            <w:tcMar>
              <w:top w:w="90" w:type="dxa"/>
              <w:start w:w="100" w:type="dxa"/>
              <w:bottom w:w="90" w:type="dxa"/>
              <w:end w:w="100" w:type="dxa"/>
            </w:tcMar>
            <w:shd w:fill="F4F7F5"/>
          </w:tcPr>
          <w:p>
            <w:pPr>
              <w:spacing w:after="0" w:before="0"/>
            </w:pPr>
            <w:r/>
            <w:r>
              <w:rPr>
                <w:rFonts w:ascii="Arial" w:hAnsi="Arial"/>
                <w:b w:val="0"/>
                <w:color w:val="17211B"/>
                <w:sz w:val="15"/>
              </w:rPr>
              <w:t>Store approved account properties and restrictions; retire or isolate campaign payout scheduling.</w:t>
            </w:r>
          </w:p>
        </w:tc>
      </w:tr>
      <w:tr>
        <w:trPr>
          <w:cantSplit/>
        </w:trPr>
        <w:tc>
          <w:tcPr>
            <w:tcW w:type="dxa" w:w="3240"/>
            <w:vAlign w:val="center"/>
            <w:tcMar>
              <w:top w:w="90" w:type="dxa"/>
              <w:start w:w="100" w:type="dxa"/>
              <w:bottom w:w="90" w:type="dxa"/>
              <w:end w:w="100" w:type="dxa"/>
            </w:tcMar>
            <w:shd w:fill="FFFFFF"/>
          </w:tcPr>
          <w:p>
            <w:pPr>
              <w:spacing w:after="0" w:before="0"/>
            </w:pPr>
            <w:r/>
            <w:r>
              <w:rPr>
                <w:rFonts w:ascii="Arial" w:hAnsi="Arial"/>
                <w:b w:val="0"/>
                <w:color w:val="17211B"/>
                <w:sz w:val="15"/>
              </w:rPr>
              <w:t>convex/stripe.ts</w:t>
            </w:r>
          </w:p>
        </w:tc>
        <w:tc>
          <w:tcPr>
            <w:tcW w:type="dxa" w:w="7344"/>
            <w:vAlign w:val="center"/>
            <w:tcMar>
              <w:top w:w="90" w:type="dxa"/>
              <w:start w:w="100" w:type="dxa"/>
              <w:bottom w:w="90" w:type="dxa"/>
              <w:end w:w="100" w:type="dxa"/>
            </w:tcMar>
            <w:shd w:fill="FFFFFF"/>
          </w:tcPr>
          <w:p>
            <w:pPr>
              <w:spacing w:after="0" w:before="0"/>
            </w:pPr>
            <w:r/>
            <w:r>
              <w:rPr>
                <w:rFonts w:ascii="Arial" w:hAnsi="Arial"/>
                <w:b w:val="0"/>
                <w:color w:val="17211B"/>
                <w:sz w:val="15"/>
              </w:rPr>
              <w:t>Create account-scoped charges; calculate application fee; use minor units and idempotency; disable Community Funds.</w:t>
            </w:r>
          </w:p>
        </w:tc>
      </w:tr>
      <w:tr>
        <w:trPr>
          <w:cantSplit/>
        </w:trPr>
        <w:tc>
          <w:tcPr>
            <w:tcW w:type="dxa" w:w="3240"/>
            <w:vAlign w:val="center"/>
            <w:tcMar>
              <w:top w:w="90" w:type="dxa"/>
              <w:start w:w="100" w:type="dxa"/>
              <w:bottom w:w="90" w:type="dxa"/>
              <w:end w:w="100" w:type="dxa"/>
            </w:tcMar>
            <w:shd w:fill="F4F7F5"/>
          </w:tcPr>
          <w:p>
            <w:pPr>
              <w:spacing w:after="0" w:before="0"/>
            </w:pPr>
            <w:r/>
            <w:r>
              <w:rPr>
                <w:rFonts w:ascii="Arial" w:hAnsi="Arial"/>
                <w:b w:val="0"/>
                <w:color w:val="17211B"/>
                <w:sz w:val="15"/>
              </w:rPr>
              <w:t>convex/stripeWebhook.ts</w:t>
            </w:r>
          </w:p>
        </w:tc>
        <w:tc>
          <w:tcPr>
            <w:tcW w:type="dxa" w:w="7344"/>
            <w:vAlign w:val="center"/>
            <w:tcMar>
              <w:top w:w="90" w:type="dxa"/>
              <w:start w:w="100" w:type="dxa"/>
              <w:bottom w:w="90" w:type="dxa"/>
              <w:end w:w="100" w:type="dxa"/>
            </w:tcMar>
            <w:shd w:fill="F4F7F5"/>
          </w:tcPr>
          <w:p>
            <w:pPr>
              <w:spacing w:after="0" w:before="0"/>
            </w:pPr>
            <w:r/>
            <w:r>
              <w:rPr>
                <w:rFonts w:ascii="Arial" w:hAnsi="Arial"/>
                <w:b w:val="0"/>
                <w:color w:val="17211B"/>
                <w:sz w:val="15"/>
              </w:rPr>
              <w:t>Connect account context; separate refunds and disputes; robust lifecycle and failure handling.</w:t>
            </w:r>
          </w:p>
        </w:tc>
      </w:tr>
      <w:tr>
        <w:trPr>
          <w:cantSplit/>
        </w:trPr>
        <w:tc>
          <w:tcPr>
            <w:tcW w:type="dxa" w:w="3240"/>
            <w:vAlign w:val="center"/>
            <w:tcMar>
              <w:top w:w="90" w:type="dxa"/>
              <w:start w:w="100" w:type="dxa"/>
              <w:bottom w:w="90" w:type="dxa"/>
              <w:end w:w="100" w:type="dxa"/>
            </w:tcMar>
            <w:shd w:fill="FFFFFF"/>
          </w:tcPr>
          <w:p>
            <w:pPr>
              <w:spacing w:after="0" w:before="0"/>
            </w:pPr>
            <w:r/>
            <w:r>
              <w:rPr>
                <w:rFonts w:ascii="Arial" w:hAnsi="Arial"/>
                <w:b w:val="0"/>
                <w:color w:val="17211B"/>
                <w:sz w:val="15"/>
              </w:rPr>
              <w:t>convex/stripeInternal.ts</w:t>
            </w:r>
          </w:p>
        </w:tc>
        <w:tc>
          <w:tcPr>
            <w:tcW w:type="dxa" w:w="7344"/>
            <w:vAlign w:val="center"/>
            <w:tcMar>
              <w:top w:w="90" w:type="dxa"/>
              <w:start w:w="100" w:type="dxa"/>
              <w:bottom w:w="90" w:type="dxa"/>
              <w:end w:w="100" w:type="dxa"/>
            </w:tcMar>
            <w:shd w:fill="FFFFFF"/>
          </w:tcPr>
          <w:p>
            <w:pPr>
              <w:spacing w:after="0" w:before="0"/>
            </w:pPr>
            <w:r/>
            <w:r>
              <w:rPr>
                <w:rFonts w:ascii="Arial" w:hAnsi="Arial"/>
                <w:b w:val="0"/>
                <w:color w:val="17211B"/>
                <w:sz w:val="15"/>
              </w:rPr>
              <w:t>Replace markDonationRefunded simplification; ledger-based aggregates; partial refund/dispute-safe updates.</w:t>
            </w:r>
          </w:p>
        </w:tc>
      </w:tr>
      <w:tr>
        <w:trPr>
          <w:cantSplit/>
        </w:trPr>
        <w:tc>
          <w:tcPr>
            <w:tcW w:type="dxa" w:w="3240"/>
            <w:vAlign w:val="center"/>
            <w:tcMar>
              <w:top w:w="90" w:type="dxa"/>
              <w:start w:w="100" w:type="dxa"/>
              <w:bottom w:w="90" w:type="dxa"/>
              <w:end w:w="100" w:type="dxa"/>
            </w:tcMar>
            <w:shd w:fill="F4F7F5"/>
          </w:tcPr>
          <w:p>
            <w:pPr>
              <w:spacing w:after="0" w:before="0"/>
            </w:pPr>
            <w:r/>
            <w:r>
              <w:rPr>
                <w:rFonts w:ascii="Arial" w:hAnsi="Arial"/>
                <w:b w:val="0"/>
                <w:color w:val="17211B"/>
                <w:sz w:val="15"/>
              </w:rPr>
              <w:t>convex/stripeFunds.ts</w:t>
            </w:r>
          </w:p>
        </w:tc>
        <w:tc>
          <w:tcPr>
            <w:tcW w:type="dxa" w:w="7344"/>
            <w:vAlign w:val="center"/>
            <w:tcMar>
              <w:top w:w="90" w:type="dxa"/>
              <w:start w:w="100" w:type="dxa"/>
              <w:bottom w:w="90" w:type="dxa"/>
              <w:end w:w="100" w:type="dxa"/>
            </w:tcMar>
            <w:shd w:fill="F4F7F5"/>
          </w:tcPr>
          <w:p>
            <w:pPr>
              <w:spacing w:after="0" w:before="0"/>
            </w:pPr>
            <w:r/>
            <w:r>
              <w:rPr>
                <w:rFonts w:ascii="Arial" w:hAnsi="Arial"/>
                <w:b w:val="0"/>
                <w:color w:val="17211B"/>
                <w:sz w:val="15"/>
              </w:rPr>
              <w:t>Feature-flag, then redesign immutable allocation and recovery if retained.</w:t>
            </w:r>
          </w:p>
        </w:tc>
      </w:tr>
      <w:tr>
        <w:trPr>
          <w:cantSplit/>
        </w:trPr>
        <w:tc>
          <w:tcPr>
            <w:tcW w:type="dxa" w:w="3240"/>
            <w:vAlign w:val="center"/>
            <w:tcMar>
              <w:top w:w="90" w:type="dxa"/>
              <w:start w:w="100" w:type="dxa"/>
              <w:bottom w:w="90" w:type="dxa"/>
              <w:end w:w="100" w:type="dxa"/>
            </w:tcMar>
            <w:shd w:fill="FFFFFF"/>
          </w:tcPr>
          <w:p>
            <w:pPr>
              <w:spacing w:after="0" w:before="0"/>
            </w:pPr>
            <w:r/>
            <w:r>
              <w:rPr>
                <w:rFonts w:ascii="Arial" w:hAnsi="Arial"/>
                <w:b w:val="0"/>
                <w:color w:val="17211B"/>
                <w:sz w:val="15"/>
              </w:rPr>
              <w:t>convex/schema.ts</w:t>
            </w:r>
          </w:p>
        </w:tc>
        <w:tc>
          <w:tcPr>
            <w:tcW w:type="dxa" w:w="7344"/>
            <w:vAlign w:val="center"/>
            <w:tcMar>
              <w:top w:w="90" w:type="dxa"/>
              <w:start w:w="100" w:type="dxa"/>
              <w:bottom w:w="90" w:type="dxa"/>
              <w:end w:w="100" w:type="dxa"/>
            </w:tcMar>
            <w:shd w:fill="FFFFFF"/>
          </w:tcPr>
          <w:p>
            <w:pPr>
              <w:spacing w:after="0" w:before="0"/>
            </w:pPr>
            <w:r/>
            <w:r>
              <w:rPr>
                <w:rFonts w:ascii="Arial" w:hAnsi="Arial"/>
                <w:b w:val="0"/>
                <w:color w:val="17211B"/>
                <w:sz w:val="15"/>
              </w:rPr>
              <w:t>New money, refund, dispute, legal acceptance, account status and ledger entities.</w:t>
            </w:r>
          </w:p>
        </w:tc>
      </w:tr>
      <w:tr>
        <w:trPr>
          <w:cantSplit/>
        </w:trPr>
        <w:tc>
          <w:tcPr>
            <w:tcW w:type="dxa" w:w="3240"/>
            <w:vAlign w:val="center"/>
            <w:tcMar>
              <w:top w:w="90" w:type="dxa"/>
              <w:start w:w="100" w:type="dxa"/>
              <w:bottom w:w="90" w:type="dxa"/>
              <w:end w:w="100" w:type="dxa"/>
            </w:tcMar>
            <w:shd w:fill="F4F7F5"/>
          </w:tcPr>
          <w:p>
            <w:pPr>
              <w:spacing w:after="0" w:before="0"/>
            </w:pPr>
            <w:r/>
            <w:r>
              <w:rPr>
                <w:rFonts w:ascii="Arial" w:hAnsi="Arial"/>
                <w:b w:val="0"/>
                <w:color w:val="17211B"/>
                <w:sz w:val="15"/>
              </w:rPr>
              <w:t>convex/validators.ts</w:t>
            </w:r>
          </w:p>
        </w:tc>
        <w:tc>
          <w:tcPr>
            <w:tcW w:type="dxa" w:w="7344"/>
            <w:vAlign w:val="center"/>
            <w:tcMar>
              <w:top w:w="90" w:type="dxa"/>
              <w:start w:w="100" w:type="dxa"/>
              <w:bottom w:w="90" w:type="dxa"/>
              <w:end w:w="100" w:type="dxa"/>
            </w:tcMar>
            <w:shd w:fill="F4F7F5"/>
          </w:tcPr>
          <w:p>
            <w:pPr>
              <w:spacing w:after="0" w:before="0"/>
            </w:pPr>
            <w:r/>
            <w:r>
              <w:rPr>
                <w:rFonts w:ascii="Arial" w:hAnsi="Arial"/>
                <w:b w:val="0"/>
                <w:color w:val="17211B"/>
                <w:sz w:val="15"/>
              </w:rPr>
              <w:t>Explicit campaign lifecycle, financial freeze and payment-recipient fields.</w:t>
            </w:r>
          </w:p>
        </w:tc>
      </w:tr>
      <w:tr>
        <w:trPr>
          <w:cantSplit/>
        </w:trPr>
        <w:tc>
          <w:tcPr>
            <w:tcW w:type="dxa" w:w="3240"/>
            <w:vAlign w:val="center"/>
            <w:tcMar>
              <w:top w:w="90" w:type="dxa"/>
              <w:start w:w="100" w:type="dxa"/>
              <w:bottom w:w="90" w:type="dxa"/>
              <w:end w:w="100" w:type="dxa"/>
            </w:tcMar>
            <w:shd w:fill="FFFFFF"/>
          </w:tcPr>
          <w:p>
            <w:pPr>
              <w:spacing w:after="0" w:before="0"/>
            </w:pPr>
            <w:r/>
            <w:r>
              <w:rPr>
                <w:rFonts w:ascii="Arial" w:hAnsi="Arial"/>
                <w:b w:val="0"/>
                <w:color w:val="17211B"/>
                <w:sz w:val="15"/>
              </w:rPr>
              <w:t>convex/campaigns.ts / campaignCreator.ts</w:t>
            </w:r>
          </w:p>
        </w:tc>
        <w:tc>
          <w:tcPr>
            <w:tcW w:type="dxa" w:w="7344"/>
            <w:vAlign w:val="center"/>
            <w:tcMar>
              <w:top w:w="90" w:type="dxa"/>
              <w:start w:w="100" w:type="dxa"/>
              <w:bottom w:w="90" w:type="dxa"/>
              <w:end w:w="100" w:type="dxa"/>
            </w:tcMar>
            <w:shd w:fill="FFFFFF"/>
          </w:tcPr>
          <w:p>
            <w:pPr>
              <w:spacing w:after="0" w:before="0"/>
            </w:pPr>
            <w:r/>
            <w:r>
              <w:rPr>
                <w:rFonts w:ascii="Arial" w:hAnsi="Arial"/>
                <w:b w:val="0"/>
                <w:color w:val="17211B"/>
                <w:sz w:val="15"/>
              </w:rPr>
              <w:t>Central lifecycle service; material-change locks; deadline outcomes; financial freeze.</w:t>
            </w:r>
          </w:p>
        </w:tc>
      </w:tr>
      <w:tr>
        <w:trPr>
          <w:cantSplit/>
        </w:trPr>
        <w:tc>
          <w:tcPr>
            <w:tcW w:type="dxa" w:w="3240"/>
            <w:vAlign w:val="center"/>
            <w:tcMar>
              <w:top w:w="90" w:type="dxa"/>
              <w:start w:w="100" w:type="dxa"/>
              <w:bottom w:w="90" w:type="dxa"/>
              <w:end w:w="100" w:type="dxa"/>
            </w:tcMar>
            <w:shd w:fill="F4F7F5"/>
          </w:tcPr>
          <w:p>
            <w:pPr>
              <w:spacing w:after="0" w:before="0"/>
            </w:pPr>
            <w:r/>
            <w:r>
              <w:rPr>
                <w:rFonts w:ascii="Arial" w:hAnsi="Arial"/>
                <w:b w:val="0"/>
                <w:color w:val="17211B"/>
                <w:sz w:val="15"/>
              </w:rPr>
              <w:t>convex/societies.ts / identity modules</w:t>
            </w:r>
          </w:p>
        </w:tc>
        <w:tc>
          <w:tcPr>
            <w:tcW w:type="dxa" w:w="7344"/>
            <w:vAlign w:val="center"/>
            <w:tcMar>
              <w:top w:w="90" w:type="dxa"/>
              <w:start w:w="100" w:type="dxa"/>
              <w:bottom w:w="90" w:type="dxa"/>
              <w:end w:w="100" w:type="dxa"/>
            </w:tcMar>
            <w:shd w:fill="F4F7F5"/>
          </w:tcPr>
          <w:p>
            <w:pPr>
              <w:spacing w:after="0" w:before="0"/>
            </w:pPr>
            <w:r/>
            <w:r>
              <w:rPr>
                <w:rFonts w:ascii="Arial" w:hAnsi="Arial"/>
                <w:b w:val="0"/>
                <w:color w:val="17211B"/>
                <w:sz w:val="15"/>
              </w:rPr>
              <w:t>Data minimisation, retention and controlled access to verification material.</w:t>
            </w:r>
          </w:p>
        </w:tc>
      </w:tr>
      <w:tr>
        <w:trPr>
          <w:cantSplit/>
        </w:trPr>
        <w:tc>
          <w:tcPr>
            <w:tcW w:type="dxa" w:w="3240"/>
            <w:vAlign w:val="center"/>
            <w:tcMar>
              <w:top w:w="90" w:type="dxa"/>
              <w:start w:w="100" w:type="dxa"/>
              <w:bottom w:w="90" w:type="dxa"/>
              <w:end w:w="100" w:type="dxa"/>
            </w:tcMar>
            <w:shd w:fill="FFFFFF"/>
          </w:tcPr>
          <w:p>
            <w:pPr>
              <w:spacing w:after="0" w:before="0"/>
            </w:pPr>
            <w:r/>
            <w:r>
              <w:rPr>
                <w:rFonts w:ascii="Arial" w:hAnsi="Arial"/>
                <w:b w:val="0"/>
                <w:color w:val="17211B"/>
                <w:sz w:val="15"/>
              </w:rPr>
              <w:t>donation, account and admin UI</w:t>
            </w:r>
          </w:p>
        </w:tc>
        <w:tc>
          <w:tcPr>
            <w:tcW w:type="dxa" w:w="7344"/>
            <w:vAlign w:val="center"/>
            <w:tcMar>
              <w:top w:w="90" w:type="dxa"/>
              <w:start w:w="100" w:type="dxa"/>
              <w:bottom w:w="90" w:type="dxa"/>
              <w:end w:w="100" w:type="dxa"/>
            </w:tcMar>
            <w:shd w:fill="FFFFFF"/>
          </w:tcPr>
          <w:p>
            <w:pPr>
              <w:spacing w:after="0" w:before="0"/>
            </w:pPr>
            <w:r/>
            <w:r>
              <w:rPr>
                <w:rFonts w:ascii="Arial" w:hAnsi="Arial"/>
                <w:b w:val="0"/>
                <w:color w:val="17211B"/>
                <w:sz w:val="15"/>
              </w:rPr>
              <w:t>Fee disclosure, connected-account readiness, refund request/review, dispute and operations interfaces.</w:t>
            </w:r>
          </w:p>
        </w:tc>
      </w:tr>
      <w:tr>
        <w:trPr>
          <w:cantSplit/>
        </w:trPr>
        <w:tc>
          <w:tcPr>
            <w:tcW w:type="dxa" w:w="3240"/>
            <w:vAlign w:val="center"/>
            <w:tcMar>
              <w:top w:w="90" w:type="dxa"/>
              <w:start w:w="100" w:type="dxa"/>
              <w:bottom w:w="90" w:type="dxa"/>
              <w:end w:w="100" w:type="dxa"/>
            </w:tcMar>
            <w:shd w:fill="F4F7F5"/>
          </w:tcPr>
          <w:p>
            <w:pPr>
              <w:spacing w:after="0" w:before="0"/>
            </w:pPr>
            <w:r/>
            <w:r>
              <w:rPr>
                <w:rFonts w:ascii="Arial" w:hAnsi="Arial"/>
                <w:b w:val="0"/>
                <w:color w:val="17211B"/>
                <w:sz w:val="15"/>
              </w:rPr>
              <w:t>tests and deployment config</w:t>
            </w:r>
          </w:p>
        </w:tc>
        <w:tc>
          <w:tcPr>
            <w:tcW w:type="dxa" w:w="7344"/>
            <w:vAlign w:val="center"/>
            <w:tcMar>
              <w:top w:w="90" w:type="dxa"/>
              <w:start w:w="100" w:type="dxa"/>
              <w:bottom w:w="90" w:type="dxa"/>
              <w:end w:w="100" w:type="dxa"/>
            </w:tcMar>
            <w:shd w:fill="F4F7F5"/>
          </w:tcPr>
          <w:p>
            <w:pPr>
              <w:spacing w:after="0" w:before="0"/>
            </w:pPr>
            <w:r/>
            <w:r>
              <w:rPr>
                <w:rFonts w:ascii="Arial" w:hAnsi="Arial"/>
                <w:b w:val="0"/>
                <w:color w:val="17211B"/>
                <w:sz w:val="15"/>
              </w:rPr>
              <w:t>Stripe test clocks/events, feature flags, migration scripts, monitoring and rollback.</w:t>
            </w:r>
          </w:p>
        </w:tc>
      </w:tr>
    </w:tbl>
    <w:p>
      <w:pPr>
        <w:spacing w:after="40"/>
      </w:pPr>
    </w:p>
    <w:p>
      <w:pPr>
        <w:pStyle w:val="Heading1"/>
      </w:pPr>
      <w:r>
        <w:t>14. Test and release requirements</w:t>
      </w:r>
    </w:p>
    <w:p>
      <w:pPr>
        <w:keepNext w:val="0"/>
        <w:spacing w:after="100" w:before="0" w:line="259" w:lineRule="auto"/>
      </w:pPr>
      <w:r>
        <w:rPr>
          <w:rFonts w:ascii="Arial" w:hAnsi="Arial"/>
          <w:color w:val="17211B"/>
          <w:sz w:val="19"/>
        </w:rPr>
        <w:t>Payment changes must be deployed behind feature flags and validated in Stripe test mode with automated integration tests. The following scenarios are minimum release gates.</w:t>
      </w:r>
    </w:p>
    <w:p>
      <w:pPr>
        <w:pStyle w:val="ListBullet"/>
        <w:spacing w:after="40" w:line="245" w:lineRule="auto"/>
      </w:pPr>
      <w:r>
        <w:rPr>
          <w:rFonts w:ascii="Arial" w:hAnsi="Arial"/>
          <w:color w:val="17211B"/>
          <w:sz w:val="18"/>
        </w:rPr>
        <w:t>Successful donation, including a card requiring authentication, with exact gross, application fee and recipient amount.</w:t>
      </w:r>
    </w:p>
    <w:p>
      <w:pPr>
        <w:pStyle w:val="ListBullet"/>
        <w:spacing w:after="40" w:line="245" w:lineRule="auto"/>
      </w:pPr>
      <w:r>
        <w:rPr>
          <w:rFonts w:ascii="Arial" w:hAnsi="Arial"/>
          <w:color w:val="17211B"/>
          <w:sz w:val="18"/>
        </w:rPr>
        <w:t>Declined and abandoned PaymentIntents; stale pending records; repeated client submission and idempotent retry.</w:t>
      </w:r>
    </w:p>
    <w:p>
      <w:pPr>
        <w:pStyle w:val="ListBullet"/>
        <w:spacing w:after="40" w:line="245" w:lineRule="auto"/>
      </w:pPr>
      <w:r>
        <w:rPr>
          <w:rFonts w:ascii="Arial" w:hAnsi="Arial"/>
          <w:color w:val="17211B"/>
          <w:sz w:val="18"/>
        </w:rPr>
        <w:t>Connected account not ready, restricted, disconnected or changed after campaign creation.</w:t>
      </w:r>
    </w:p>
    <w:p>
      <w:pPr>
        <w:pStyle w:val="ListBullet"/>
        <w:spacing w:after="40" w:line="245" w:lineRule="auto"/>
      </w:pPr>
      <w:r>
        <w:rPr>
          <w:rFonts w:ascii="Arial" w:hAnsi="Arial"/>
          <w:color w:val="17211B"/>
          <w:sz w:val="18"/>
        </w:rPr>
        <w:t>Full refund, multiple partial refunds, refund retry, duplicate webhook and insufficient account balance.</w:t>
      </w:r>
    </w:p>
    <w:p>
      <w:pPr>
        <w:pStyle w:val="ListBullet"/>
        <w:spacing w:after="40" w:line="245" w:lineRule="auto"/>
      </w:pPr>
      <w:r>
        <w:rPr>
          <w:rFonts w:ascii="Arial" w:hAnsi="Arial"/>
          <w:color w:val="17211B"/>
          <w:sz w:val="18"/>
        </w:rPr>
        <w:t>Dispute opened, evidence due, dispute won, dispute lost, funds withdrawn/reinstated and dispute fee reconciliation.</w:t>
      </w:r>
    </w:p>
    <w:p>
      <w:pPr>
        <w:pStyle w:val="ListBullet"/>
        <w:spacing w:after="40" w:line="245" w:lineRule="auto"/>
      </w:pPr>
      <w:r>
        <w:rPr>
          <w:rFonts w:ascii="Arial" w:hAnsi="Arial"/>
          <w:color w:val="17211B"/>
          <w:sz w:val="18"/>
        </w:rPr>
        <w:t>Campaign goal crossed, refund drops it below the goal, campaign deadline reached, take-down/freeze and restoration.</w:t>
      </w:r>
    </w:p>
    <w:p>
      <w:pPr>
        <w:pStyle w:val="ListBullet"/>
        <w:spacing w:after="40" w:line="245" w:lineRule="auto"/>
      </w:pPr>
      <w:r>
        <w:rPr>
          <w:rFonts w:ascii="Arial" w:hAnsi="Arial"/>
          <w:color w:val="17211B"/>
          <w:sz w:val="18"/>
        </w:rPr>
        <w:t>Webhook events arriving out of order or after temporary database failure; safe replay without duplicate money movement.</w:t>
      </w:r>
    </w:p>
    <w:p>
      <w:pPr>
        <w:pStyle w:val="ListBullet"/>
        <w:spacing w:after="40" w:line="245" w:lineRule="auto"/>
      </w:pPr>
      <w:r>
        <w:rPr>
          <w:rFonts w:ascii="Arial" w:hAnsi="Arial"/>
          <w:color w:val="17211B"/>
          <w:sz w:val="18"/>
        </w:rPr>
        <w:t>Cross-account authorisation attempts, client-tampered fees/account IDs and unauthorised admin/organiser actions.</w:t>
      </w:r>
    </w:p>
    <w:p>
      <w:pPr>
        <w:pStyle w:val="ListBullet"/>
        <w:spacing w:after="40" w:line="245" w:lineRule="auto"/>
      </w:pPr>
      <w:r>
        <w:rPr>
          <w:rFonts w:ascii="Arial" w:hAnsi="Arial"/>
          <w:color w:val="17211B"/>
          <w:sz w:val="18"/>
        </w:rPr>
        <w:t>Legal acceptance version changes and blocked submission/donation when acceptance is missing.</w:t>
      </w:r>
    </w:p>
    <w:p>
      <w:pPr>
        <w:pStyle w:val="ListBullet"/>
        <w:spacing w:after="40" w:line="245" w:lineRule="auto"/>
      </w:pPr>
      <w:r>
        <w:rPr>
          <w:rFonts w:ascii="Arial" w:hAnsi="Arial"/>
          <w:color w:val="17211B"/>
          <w:sz w:val="18"/>
        </w:rPr>
        <w:t>Migration of any existing test or live donation records with a reconciliation report and rollback plan.</w:t>
      </w:r>
    </w:p>
    <w:p>
      <w:pPr>
        <w:keepNext/>
        <w:spacing w:before="100" w:after="40"/>
      </w:pPr>
      <w:r>
        <w:rPr>
          <w:rFonts w:ascii="Arial" w:hAnsi="Arial"/>
          <w:b/>
          <w:color w:val="168456"/>
          <w:sz w:val="20"/>
        </w:rPr>
        <w:t xml:space="preserve">QA-01  </w:t>
      </w:r>
      <w:r>
        <w:rPr>
          <w:rFonts w:ascii="Arial" w:hAnsi="Arial"/>
          <w:b/>
          <w:color w:val="17211B"/>
          <w:sz w:val="20"/>
        </w:rPr>
        <w:t>Add contract tests against Stripe test mode</w:t>
      </w:r>
      <w:r>
        <w:rPr>
          <w:rFonts w:ascii="Arial" w:hAnsi="Arial"/>
          <w:b/>
          <w:color w:val="A15C00"/>
          <w:sz w:val="20"/>
        </w:rPr>
        <w:t xml:space="preserve">  [P1]</w:t>
      </w:r>
    </w:p>
    <w:p>
      <w:pPr>
        <w:keepNext w:val="0"/>
        <w:spacing w:after="40" w:before="0" w:line="259" w:lineRule="auto"/>
      </w:pPr>
      <w:r>
        <w:rPr>
          <w:rFonts w:ascii="Arial" w:hAnsi="Arial"/>
          <w:color w:val="17211B"/>
          <w:sz w:val="19"/>
        </w:rPr>
        <w:t>Exercise the real Stripe API for the approved charge model and webhooks, while keeping unit tests for state transitions and accounting. Use Stripe-provided test scenarios for authentication, declines, refunds and disputes.</w:t>
      </w:r>
    </w:p>
    <w:p>
      <w:pPr>
        <w:keepNext w:val="0"/>
        <w:spacing w:after="40" w:before="0" w:line="259" w:lineRule="auto"/>
      </w:pPr>
      <w:r>
        <w:rPr>
          <w:rFonts w:ascii="Arial" w:hAnsi="Arial"/>
          <w:color w:val="17211B"/>
          <w:sz w:val="19"/>
        </w:rPr>
        <w:t>CI or a controlled pre-release test suite proves all release-gate scenarios. No production activation occurs based only on mocked Stripe objects.</w:t>
      </w:r>
    </w:p>
    <w:p>
      <w:pPr>
        <w:keepNext/>
        <w:spacing w:before="100" w:after="40"/>
      </w:pPr>
      <w:r>
        <w:rPr>
          <w:rFonts w:ascii="Arial" w:hAnsi="Arial"/>
          <w:b/>
          <w:color w:val="168456"/>
          <w:sz w:val="20"/>
        </w:rPr>
        <w:t xml:space="preserve">QA-02  </w:t>
      </w:r>
      <w:r>
        <w:rPr>
          <w:rFonts w:ascii="Arial" w:hAnsi="Arial"/>
          <w:b/>
          <w:color w:val="17211B"/>
          <w:sz w:val="20"/>
        </w:rPr>
        <w:t>Run reconciliation before and after migration</w:t>
      </w:r>
      <w:r>
        <w:rPr>
          <w:rFonts w:ascii="Arial" w:hAnsi="Arial"/>
          <w:b/>
          <w:color w:val="A15C00"/>
          <w:sz w:val="20"/>
        </w:rPr>
        <w:t xml:space="preserve">  [P1]</w:t>
      </w:r>
    </w:p>
    <w:p>
      <w:pPr>
        <w:keepNext w:val="0"/>
        <w:spacing w:after="40" w:before="0" w:line="259" w:lineRule="auto"/>
      </w:pPr>
      <w:r>
        <w:rPr>
          <w:rFonts w:ascii="Arial" w:hAnsi="Arial"/>
          <w:color w:val="17211B"/>
          <w:sz w:val="19"/>
        </w:rPr>
        <w:t>Export existing Convex payment records and compare them with Stripe PaymentIntents, charges, transfers, refunds and disputes. Classify each record by legacy architecture and avoid silently converting historical objects.</w:t>
      </w:r>
    </w:p>
    <w:p>
      <w:pPr>
        <w:keepNext w:val="0"/>
        <w:spacing w:after="40" w:before="0" w:line="259" w:lineRule="auto"/>
      </w:pPr>
      <w:r>
        <w:rPr>
          <w:rFonts w:ascii="Arial" w:hAnsi="Arial"/>
          <w:color w:val="17211B"/>
          <w:sz w:val="19"/>
        </w:rPr>
        <w:t>The migration report identifies every mismatch and the chosen resolution. Historical transactions remain queryable under the architecture that created them.</w:t>
      </w:r>
    </w:p>
    <w:p>
      <w:pPr>
        <w:keepNext/>
        <w:spacing w:before="100" w:after="40"/>
      </w:pPr>
      <w:r>
        <w:rPr>
          <w:rFonts w:ascii="Arial" w:hAnsi="Arial"/>
          <w:b/>
          <w:color w:val="168456"/>
          <w:sz w:val="20"/>
        </w:rPr>
        <w:t xml:space="preserve">QA-03  </w:t>
      </w:r>
      <w:r>
        <w:rPr>
          <w:rFonts w:ascii="Arial" w:hAnsi="Arial"/>
          <w:b/>
          <w:color w:val="17211B"/>
          <w:sz w:val="20"/>
        </w:rPr>
        <w:t>Deploy in staged cohorts with kill switches</w:t>
      </w:r>
      <w:r>
        <w:rPr>
          <w:rFonts w:ascii="Arial" w:hAnsi="Arial"/>
          <w:b/>
          <w:color w:val="A15C00"/>
          <w:sz w:val="20"/>
        </w:rPr>
        <w:t xml:space="preserve">  [P1]</w:t>
      </w:r>
    </w:p>
    <w:p>
      <w:pPr>
        <w:keepNext w:val="0"/>
        <w:spacing w:after="40" w:before="0" w:line="259" w:lineRule="auto"/>
      </w:pPr>
      <w:r>
        <w:rPr>
          <w:rFonts w:ascii="Arial" w:hAnsi="Arial"/>
          <w:color w:val="17211B"/>
          <w:sz w:val="19"/>
        </w:rPr>
        <w:t>Use separate flags for new connected-account onboarding, direct charges, refunds, disputes and Community Funds. Include a server-side switch that blocks new donations without disabling access to existing cases.</w:t>
      </w:r>
    </w:p>
    <w:p>
      <w:pPr>
        <w:keepNext w:val="0"/>
        <w:spacing w:after="40" w:before="0" w:line="259" w:lineRule="auto"/>
      </w:pPr>
      <w:r>
        <w:rPr>
          <w:rFonts w:ascii="Arial" w:hAnsi="Arial"/>
          <w:color w:val="17211B"/>
          <w:sz w:val="19"/>
        </w:rPr>
        <w:t>The team can stop new payment creation immediately while preserving webhook processing and operations access.</w:t>
      </w:r>
    </w:p>
    <w:p>
      <w:pPr>
        <w:pStyle w:val="Heading1"/>
      </w:pPr>
      <w:r>
        <w:t>15. Decisions required from product/legal</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3672"/>
            <w:vAlign w:val="center"/>
            <w:tcMar>
              <w:top w:w="90" w:type="dxa"/>
              <w:start w:w="100" w:type="dxa"/>
              <w:bottom w:w="90" w:type="dxa"/>
              <w:end w:w="100" w:type="dxa"/>
            </w:tcMar>
            <w:shd w:fill="168456"/>
          </w:tcPr>
          <w:p>
            <w:pPr>
              <w:spacing w:after="0" w:before="0"/>
            </w:pPr>
            <w:r/>
            <w:r>
              <w:rPr>
                <w:rFonts w:ascii="Arial" w:hAnsi="Arial"/>
                <w:b/>
                <w:color w:val="FFFFFF"/>
                <w:sz w:val="16"/>
              </w:rPr>
              <w:t>Decision</w:t>
            </w:r>
          </w:p>
        </w:tc>
        <w:tc>
          <w:tcPr>
            <w:tcW w:type="dxa" w:w="6912"/>
            <w:vAlign w:val="center"/>
            <w:tcMar>
              <w:top w:w="90" w:type="dxa"/>
              <w:start w:w="100" w:type="dxa"/>
              <w:bottom w:w="90" w:type="dxa"/>
              <w:end w:w="100" w:type="dxa"/>
            </w:tcMar>
            <w:shd w:fill="168456"/>
          </w:tcPr>
          <w:p>
            <w:pPr>
              <w:spacing w:after="0" w:before="0"/>
            </w:pPr>
            <w:r/>
            <w:r>
              <w:rPr>
                <w:rFonts w:ascii="Arial" w:hAnsi="Arial"/>
                <w:b/>
                <w:color w:val="FFFFFF"/>
                <w:sz w:val="16"/>
              </w:rPr>
              <w:t>Why engineering cannot safely infer it</w:t>
            </w:r>
          </w:p>
        </w:tc>
      </w:tr>
      <w:tr>
        <w:trPr>
          <w:cantSplit/>
        </w:trPr>
        <w:tc>
          <w:tcPr>
            <w:tcW w:type="dxa" w:w="3672"/>
            <w:vAlign w:val="center"/>
            <w:tcMar>
              <w:top w:w="90" w:type="dxa"/>
              <w:start w:w="100" w:type="dxa"/>
              <w:bottom w:w="90" w:type="dxa"/>
              <w:end w:w="100" w:type="dxa"/>
            </w:tcMar>
            <w:shd w:fill="FFFFFF"/>
          </w:tcPr>
          <w:p>
            <w:pPr>
              <w:spacing w:after="0" w:before="0"/>
            </w:pPr>
            <w:r/>
            <w:r>
              <w:rPr>
                <w:rFonts w:ascii="Arial" w:hAnsi="Arial"/>
                <w:b w:val="0"/>
                <w:color w:val="17211B"/>
                <w:sz w:val="15"/>
              </w:rPr>
              <w:t>Merchant of record and negative-balance responsibility</w:t>
            </w:r>
          </w:p>
        </w:tc>
        <w:tc>
          <w:tcPr>
            <w:tcW w:type="dxa" w:w="6912"/>
            <w:vAlign w:val="center"/>
            <w:tcMar>
              <w:top w:w="90" w:type="dxa"/>
              <w:start w:w="100" w:type="dxa"/>
              <w:bottom w:w="90" w:type="dxa"/>
              <w:end w:w="100" w:type="dxa"/>
            </w:tcMar>
            <w:shd w:fill="FFFFFF"/>
          </w:tcPr>
          <w:p>
            <w:pPr>
              <w:spacing w:after="0" w:before="0"/>
            </w:pPr>
            <w:r/>
            <w:r>
              <w:rPr>
                <w:rFonts w:ascii="Arial" w:hAnsi="Arial"/>
                <w:b w:val="0"/>
                <w:color w:val="17211B"/>
                <w:sz w:val="15"/>
              </w:rPr>
              <w:t>Determines charge context, connected-account configuration, dispute ownership and platform exposure.</w:t>
            </w:r>
          </w:p>
        </w:tc>
      </w:tr>
      <w:tr>
        <w:trPr>
          <w:cantSplit/>
        </w:trPr>
        <w:tc>
          <w:tcPr>
            <w:tcW w:type="dxa" w:w="3672"/>
            <w:vAlign w:val="center"/>
            <w:tcMar>
              <w:top w:w="90" w:type="dxa"/>
              <w:start w:w="100" w:type="dxa"/>
              <w:bottom w:w="90" w:type="dxa"/>
              <w:end w:w="100" w:type="dxa"/>
            </w:tcMar>
            <w:shd w:fill="F4F7F5"/>
          </w:tcPr>
          <w:p>
            <w:pPr>
              <w:spacing w:after="0" w:before="0"/>
            </w:pPr>
            <w:r/>
            <w:r>
              <w:rPr>
                <w:rFonts w:ascii="Arial" w:hAnsi="Arial"/>
                <w:b w:val="0"/>
                <w:color w:val="17211B"/>
                <w:sz w:val="15"/>
              </w:rPr>
              <w:t>Keep-it-all vs all-or-nothing vs milestone release</w:t>
            </w:r>
          </w:p>
        </w:tc>
        <w:tc>
          <w:tcPr>
            <w:tcW w:type="dxa" w:w="6912"/>
            <w:vAlign w:val="center"/>
            <w:tcMar>
              <w:top w:w="90" w:type="dxa"/>
              <w:start w:w="100" w:type="dxa"/>
              <w:bottom w:w="90" w:type="dxa"/>
              <w:end w:w="100" w:type="dxa"/>
            </w:tcMar>
            <w:shd w:fill="F4F7F5"/>
          </w:tcPr>
          <w:p>
            <w:pPr>
              <w:spacing w:after="0" w:before="0"/>
            </w:pPr>
            <w:r/>
            <w:r>
              <w:rPr>
                <w:rFonts w:ascii="Arial" w:hAnsi="Arial"/>
                <w:b w:val="0"/>
                <w:color w:val="17211B"/>
                <w:sz w:val="15"/>
              </w:rPr>
              <w:t>Determines whether direct charges are compatible and what happens at the deadline.</w:t>
            </w:r>
          </w:p>
        </w:tc>
      </w:tr>
      <w:tr>
        <w:trPr>
          <w:cantSplit/>
        </w:trPr>
        <w:tc>
          <w:tcPr>
            <w:tcW w:type="dxa" w:w="3672"/>
            <w:vAlign w:val="center"/>
            <w:tcMar>
              <w:top w:w="90" w:type="dxa"/>
              <w:start w:w="100" w:type="dxa"/>
              <w:bottom w:w="90" w:type="dxa"/>
              <w:end w:w="100" w:type="dxa"/>
            </w:tcMar>
            <w:shd w:fill="FFFFFF"/>
          </w:tcPr>
          <w:p>
            <w:pPr>
              <w:spacing w:after="0" w:before="0"/>
            </w:pPr>
            <w:r/>
            <w:r>
              <w:rPr>
                <w:rFonts w:ascii="Arial" w:hAnsi="Arial"/>
                <w:b w:val="0"/>
                <w:color w:val="17211B"/>
                <w:sz w:val="15"/>
              </w:rPr>
              <w:t>Who may initiate and approve refunds</w:t>
            </w:r>
          </w:p>
        </w:tc>
        <w:tc>
          <w:tcPr>
            <w:tcW w:type="dxa" w:w="6912"/>
            <w:vAlign w:val="center"/>
            <w:tcMar>
              <w:top w:w="90" w:type="dxa"/>
              <w:start w:w="100" w:type="dxa"/>
              <w:bottom w:w="90" w:type="dxa"/>
              <w:end w:w="100" w:type="dxa"/>
            </w:tcMar>
            <w:shd w:fill="FFFFFF"/>
          </w:tcPr>
          <w:p>
            <w:pPr>
              <w:spacing w:after="0" w:before="0"/>
            </w:pPr>
            <w:r/>
            <w:r>
              <w:rPr>
                <w:rFonts w:ascii="Arial" w:hAnsi="Arial"/>
                <w:b w:val="0"/>
                <w:color w:val="17211B"/>
                <w:sz w:val="15"/>
              </w:rPr>
              <w:t>Determines permissions, Stripe API access and organiser obligations.</w:t>
            </w:r>
          </w:p>
        </w:tc>
      </w:tr>
      <w:tr>
        <w:trPr>
          <w:cantSplit/>
        </w:trPr>
        <w:tc>
          <w:tcPr>
            <w:tcW w:type="dxa" w:w="3672"/>
            <w:vAlign w:val="center"/>
            <w:tcMar>
              <w:top w:w="90" w:type="dxa"/>
              <w:start w:w="100" w:type="dxa"/>
              <w:bottom w:w="90" w:type="dxa"/>
              <w:end w:w="100" w:type="dxa"/>
            </w:tcMar>
            <w:shd w:fill="F4F7F5"/>
          </w:tcPr>
          <w:p>
            <w:pPr>
              <w:spacing w:after="0" w:before="0"/>
            </w:pPr>
            <w:r/>
            <w:r>
              <w:rPr>
                <w:rFonts w:ascii="Arial" w:hAnsi="Arial"/>
                <w:b w:val="0"/>
                <w:color w:val="17211B"/>
                <w:sz w:val="15"/>
              </w:rPr>
              <w:t>Fee structure and VAT presentation</w:t>
            </w:r>
          </w:p>
        </w:tc>
        <w:tc>
          <w:tcPr>
            <w:tcW w:type="dxa" w:w="6912"/>
            <w:vAlign w:val="center"/>
            <w:tcMar>
              <w:top w:w="90" w:type="dxa"/>
              <w:start w:w="100" w:type="dxa"/>
              <w:bottom w:w="90" w:type="dxa"/>
              <w:end w:w="100" w:type="dxa"/>
            </w:tcMar>
            <w:shd w:fill="F4F7F5"/>
          </w:tcPr>
          <w:p>
            <w:pPr>
              <w:spacing w:after="0" w:before="0"/>
            </w:pPr>
            <w:r/>
            <w:r>
              <w:rPr>
                <w:rFonts w:ascii="Arial" w:hAnsi="Arial"/>
                <w:b w:val="0"/>
                <w:color w:val="17211B"/>
                <w:sz w:val="15"/>
              </w:rPr>
              <w:t>Required for application_fee calculation, receipts and immutable fee records.</w:t>
            </w:r>
          </w:p>
        </w:tc>
      </w:tr>
      <w:tr>
        <w:trPr>
          <w:cantSplit/>
        </w:trPr>
        <w:tc>
          <w:tcPr>
            <w:tcW w:type="dxa" w:w="3672"/>
            <w:vAlign w:val="center"/>
            <w:tcMar>
              <w:top w:w="90" w:type="dxa"/>
              <w:start w:w="100" w:type="dxa"/>
              <w:bottom w:w="90" w:type="dxa"/>
              <w:end w:w="100" w:type="dxa"/>
            </w:tcMar>
            <w:shd w:fill="FFFFFF"/>
          </w:tcPr>
          <w:p>
            <w:pPr>
              <w:spacing w:after="0" w:before="0"/>
            </w:pPr>
            <w:r/>
            <w:r>
              <w:rPr>
                <w:rFonts w:ascii="Arial" w:hAnsi="Arial"/>
                <w:b w:val="0"/>
                <w:color w:val="17211B"/>
                <w:sz w:val="15"/>
              </w:rPr>
              <w:t>When Dono refunds its own fee</w:t>
            </w:r>
          </w:p>
        </w:tc>
        <w:tc>
          <w:tcPr>
            <w:tcW w:type="dxa" w:w="6912"/>
            <w:vAlign w:val="center"/>
            <w:tcMar>
              <w:top w:w="90" w:type="dxa"/>
              <w:start w:w="100" w:type="dxa"/>
              <w:bottom w:w="90" w:type="dxa"/>
              <w:end w:w="100" w:type="dxa"/>
            </w:tcMar>
            <w:shd w:fill="FFFFFF"/>
          </w:tcPr>
          <w:p>
            <w:pPr>
              <w:spacing w:after="0" w:before="0"/>
            </w:pPr>
            <w:r/>
            <w:r>
              <w:rPr>
                <w:rFonts w:ascii="Arial" w:hAnsi="Arial"/>
                <w:b w:val="0"/>
                <w:color w:val="17211B"/>
                <w:sz w:val="15"/>
              </w:rPr>
              <w:t>Controls refund_application_fee behaviour and reason/fault classification.</w:t>
            </w:r>
          </w:p>
        </w:tc>
      </w:tr>
      <w:tr>
        <w:trPr>
          <w:cantSplit/>
        </w:trPr>
        <w:tc>
          <w:tcPr>
            <w:tcW w:type="dxa" w:w="3672"/>
            <w:vAlign w:val="center"/>
            <w:tcMar>
              <w:top w:w="90" w:type="dxa"/>
              <w:start w:w="100" w:type="dxa"/>
              <w:bottom w:w="90" w:type="dxa"/>
              <w:end w:w="100" w:type="dxa"/>
            </w:tcMar>
            <w:shd w:fill="F4F7F5"/>
          </w:tcPr>
          <w:p>
            <w:pPr>
              <w:spacing w:after="0" w:before="0"/>
            </w:pPr>
            <w:r/>
            <w:r>
              <w:rPr>
                <w:rFonts w:ascii="Arial" w:hAnsi="Arial"/>
                <w:b w:val="0"/>
                <w:color w:val="17211B"/>
                <w:sz w:val="15"/>
              </w:rPr>
              <w:t>Treatment of Stripe processing and dispute fees</w:t>
            </w:r>
          </w:p>
        </w:tc>
        <w:tc>
          <w:tcPr>
            <w:tcW w:type="dxa" w:w="6912"/>
            <w:vAlign w:val="center"/>
            <w:tcMar>
              <w:top w:w="90" w:type="dxa"/>
              <w:start w:w="100" w:type="dxa"/>
              <w:bottom w:w="90" w:type="dxa"/>
              <w:end w:w="100" w:type="dxa"/>
            </w:tcMar>
            <w:shd w:fill="F4F7F5"/>
          </w:tcPr>
          <w:p>
            <w:pPr>
              <w:spacing w:after="0" w:before="0"/>
            </w:pPr>
            <w:r/>
            <w:r>
              <w:rPr>
                <w:rFonts w:ascii="Arial" w:hAnsi="Arial"/>
                <w:b w:val="0"/>
                <w:color w:val="17211B"/>
                <w:sz w:val="15"/>
              </w:rPr>
              <w:t>Determines financial ledger and who must replenish an insufficient balance.</w:t>
            </w:r>
          </w:p>
        </w:tc>
      </w:tr>
      <w:tr>
        <w:trPr>
          <w:cantSplit/>
        </w:trPr>
        <w:tc>
          <w:tcPr>
            <w:tcW w:type="dxa" w:w="3672"/>
            <w:vAlign w:val="center"/>
            <w:tcMar>
              <w:top w:w="90" w:type="dxa"/>
              <w:start w:w="100" w:type="dxa"/>
              <w:bottom w:w="90" w:type="dxa"/>
              <w:end w:w="100" w:type="dxa"/>
            </w:tcMar>
            <w:shd w:fill="FFFFFF"/>
          </w:tcPr>
          <w:p>
            <w:pPr>
              <w:spacing w:after="0" w:before="0"/>
            </w:pPr>
            <w:r/>
            <w:r>
              <w:rPr>
                <w:rFonts w:ascii="Arial" w:hAnsi="Arial"/>
                <w:b w:val="0"/>
                <w:color w:val="17211B"/>
                <w:sz w:val="15"/>
              </w:rPr>
              <w:t>Unsuccessful, cancelled and fraudulent campaigns</w:t>
            </w:r>
          </w:p>
        </w:tc>
        <w:tc>
          <w:tcPr>
            <w:tcW w:type="dxa" w:w="6912"/>
            <w:vAlign w:val="center"/>
            <w:tcMar>
              <w:top w:w="90" w:type="dxa"/>
              <w:start w:w="100" w:type="dxa"/>
              <w:bottom w:w="90" w:type="dxa"/>
              <w:end w:w="100" w:type="dxa"/>
            </w:tcMar>
            <w:shd w:fill="FFFFFF"/>
          </w:tcPr>
          <w:p>
            <w:pPr>
              <w:spacing w:after="0" w:before="0"/>
            </w:pPr>
            <w:r/>
            <w:r>
              <w:rPr>
                <w:rFonts w:ascii="Arial" w:hAnsi="Arial"/>
                <w:b w:val="0"/>
                <w:color w:val="17211B"/>
                <w:sz w:val="15"/>
              </w:rPr>
              <w:t>Controls automatic refunds, fund access, freezes and donor communication.</w:t>
            </w:r>
          </w:p>
        </w:tc>
      </w:tr>
      <w:tr>
        <w:trPr>
          <w:cantSplit/>
        </w:trPr>
        <w:tc>
          <w:tcPr>
            <w:tcW w:type="dxa" w:w="3672"/>
            <w:vAlign w:val="center"/>
            <w:tcMar>
              <w:top w:w="90" w:type="dxa"/>
              <w:start w:w="100" w:type="dxa"/>
              <w:bottom w:w="90" w:type="dxa"/>
              <w:end w:w="100" w:type="dxa"/>
            </w:tcMar>
            <w:shd w:fill="F4F7F5"/>
          </w:tcPr>
          <w:p>
            <w:pPr>
              <w:spacing w:after="0" w:before="0"/>
            </w:pPr>
            <w:r/>
            <w:r>
              <w:rPr>
                <w:rFonts w:ascii="Arial" w:hAnsi="Arial"/>
                <w:b w:val="0"/>
                <w:color w:val="17211B"/>
                <w:sz w:val="15"/>
              </w:rPr>
              <w:t>Surplus funds and material campaign changes</w:t>
            </w:r>
          </w:p>
        </w:tc>
        <w:tc>
          <w:tcPr>
            <w:tcW w:type="dxa" w:w="6912"/>
            <w:vAlign w:val="center"/>
            <w:tcMar>
              <w:top w:w="90" w:type="dxa"/>
              <w:start w:w="100" w:type="dxa"/>
              <w:bottom w:w="90" w:type="dxa"/>
              <w:end w:w="100" w:type="dxa"/>
            </w:tcMar>
            <w:shd w:fill="F4F7F5"/>
          </w:tcPr>
          <w:p>
            <w:pPr>
              <w:spacing w:after="0" w:before="0"/>
            </w:pPr>
            <w:r/>
            <w:r>
              <w:rPr>
                <w:rFonts w:ascii="Arial" w:hAnsi="Arial"/>
                <w:b w:val="0"/>
                <w:color w:val="17211B"/>
                <w:sz w:val="15"/>
              </w:rPr>
              <w:t>Controls edit locks, donor notification and possible refund rights.</w:t>
            </w:r>
          </w:p>
        </w:tc>
      </w:tr>
      <w:tr>
        <w:trPr>
          <w:cantSplit/>
        </w:trPr>
        <w:tc>
          <w:tcPr>
            <w:tcW w:type="dxa" w:w="3672"/>
            <w:vAlign w:val="center"/>
            <w:tcMar>
              <w:top w:w="90" w:type="dxa"/>
              <w:start w:w="100" w:type="dxa"/>
              <w:bottom w:w="90" w:type="dxa"/>
              <w:end w:w="100" w:type="dxa"/>
            </w:tcMar>
            <w:shd w:fill="FFFFFF"/>
          </w:tcPr>
          <w:p>
            <w:pPr>
              <w:spacing w:after="0" w:before="0"/>
            </w:pPr>
            <w:r/>
            <w:r>
              <w:rPr>
                <w:rFonts w:ascii="Arial" w:hAnsi="Arial"/>
                <w:b w:val="0"/>
                <w:color w:val="17211B"/>
                <w:sz w:val="15"/>
              </w:rPr>
              <w:t>Verification and document retention</w:t>
            </w:r>
          </w:p>
        </w:tc>
        <w:tc>
          <w:tcPr>
            <w:tcW w:type="dxa" w:w="6912"/>
            <w:vAlign w:val="center"/>
            <w:tcMar>
              <w:top w:w="90" w:type="dxa"/>
              <w:start w:w="100" w:type="dxa"/>
              <w:bottom w:w="90" w:type="dxa"/>
              <w:end w:w="100" w:type="dxa"/>
            </w:tcMar>
            <w:shd w:fill="FFFFFF"/>
          </w:tcPr>
          <w:p>
            <w:pPr>
              <w:spacing w:after="0" w:before="0"/>
            </w:pPr>
            <w:r/>
            <w:r>
              <w:rPr>
                <w:rFonts w:ascii="Arial" w:hAnsi="Arial"/>
                <w:b w:val="0"/>
                <w:color w:val="17211B"/>
                <w:sz w:val="15"/>
              </w:rPr>
              <w:t>Determines whether raw ID/supporting files may be stored and for how long.</w:t>
            </w:r>
          </w:p>
        </w:tc>
      </w:tr>
      <w:tr>
        <w:trPr>
          <w:cantSplit/>
        </w:trPr>
        <w:tc>
          <w:tcPr>
            <w:tcW w:type="dxa" w:w="3672"/>
            <w:vAlign w:val="center"/>
            <w:tcMar>
              <w:top w:w="90" w:type="dxa"/>
              <w:start w:w="100" w:type="dxa"/>
              <w:bottom w:w="90" w:type="dxa"/>
              <w:end w:w="100" w:type="dxa"/>
            </w:tcMar>
            <w:shd w:fill="F4F7F5"/>
          </w:tcPr>
          <w:p>
            <w:pPr>
              <w:spacing w:after="0" w:before="0"/>
            </w:pPr>
            <w:r/>
            <w:r>
              <w:rPr>
                <w:rFonts w:ascii="Arial" w:hAnsi="Arial"/>
                <w:b w:val="0"/>
                <w:color w:val="17211B"/>
                <w:sz w:val="15"/>
              </w:rPr>
              <w:t>Community Funds at launch</w:t>
            </w:r>
          </w:p>
        </w:tc>
        <w:tc>
          <w:tcPr>
            <w:tcW w:type="dxa" w:w="6912"/>
            <w:vAlign w:val="center"/>
            <w:tcMar>
              <w:top w:w="90" w:type="dxa"/>
              <w:start w:w="100" w:type="dxa"/>
              <w:bottom w:w="90" w:type="dxa"/>
              <w:end w:w="100" w:type="dxa"/>
            </w:tcMar>
            <w:shd w:fill="F4F7F5"/>
          </w:tcPr>
          <w:p>
            <w:pPr>
              <w:spacing w:after="0" w:before="0"/>
            </w:pPr>
            <w:r/>
            <w:r>
              <w:rPr>
                <w:rFonts w:ascii="Arial" w:hAnsi="Arial"/>
                <w:b w:val="0"/>
                <w:color w:val="17211B"/>
                <w:sz w:val="15"/>
              </w:rPr>
              <w:t>The current multi-recipient allocation is incompatible with a simple recipient-side charge model.</w:t>
            </w:r>
          </w:p>
        </w:tc>
      </w:tr>
      <w:tr>
        <w:trPr>
          <w:cantSplit/>
        </w:trPr>
        <w:tc>
          <w:tcPr>
            <w:tcW w:type="dxa" w:w="3672"/>
            <w:vAlign w:val="center"/>
            <w:tcMar>
              <w:top w:w="90" w:type="dxa"/>
              <w:start w:w="100" w:type="dxa"/>
              <w:bottom w:w="90" w:type="dxa"/>
              <w:end w:w="100" w:type="dxa"/>
            </w:tcMar>
            <w:shd w:fill="FFFFFF"/>
          </w:tcPr>
          <w:p>
            <w:pPr>
              <w:spacing w:after="0" w:before="0"/>
            </w:pPr>
            <w:r/>
            <w:r>
              <w:rPr>
                <w:rFonts w:ascii="Arial" w:hAnsi="Arial"/>
                <w:b w:val="0"/>
                <w:color w:val="17211B"/>
                <w:sz w:val="15"/>
              </w:rPr>
              <w:t>Dispute evidence responsibility</w:t>
            </w:r>
          </w:p>
        </w:tc>
        <w:tc>
          <w:tcPr>
            <w:tcW w:type="dxa" w:w="6912"/>
            <w:vAlign w:val="center"/>
            <w:tcMar>
              <w:top w:w="90" w:type="dxa"/>
              <w:start w:w="100" w:type="dxa"/>
              <w:bottom w:w="90" w:type="dxa"/>
              <w:end w:w="100" w:type="dxa"/>
            </w:tcMar>
            <w:shd w:fill="FFFFFF"/>
          </w:tcPr>
          <w:p>
            <w:pPr>
              <w:spacing w:after="0" w:before="0"/>
            </w:pPr>
            <w:r/>
            <w:r>
              <w:rPr>
                <w:rFonts w:ascii="Arial" w:hAnsi="Arial"/>
                <w:b w:val="0"/>
                <w:color w:val="17211B"/>
                <w:sz w:val="15"/>
              </w:rPr>
              <w:t>Determines whether recipients use Stripe directly or Dono builds evidence operations.</w:t>
            </w:r>
          </w:p>
        </w:tc>
      </w:tr>
    </w:tbl>
    <w:p>
      <w:pPr>
        <w:spacing w:after="40"/>
      </w:pPr>
    </w:p>
    <w:p>
      <w:pPr>
        <w:pStyle w:val="Heading1"/>
      </w:pPr>
      <w:r>
        <w:t>16. Definition of done</w:t>
      </w:r>
    </w:p>
    <w:p>
      <w:pPr>
        <w:pStyle w:val="ListBullet"/>
        <w:spacing w:after="40" w:line="245" w:lineRule="auto"/>
      </w:pPr>
      <w:r>
        <w:rPr>
          <w:rFonts w:ascii="Arial" w:hAnsi="Arial"/>
          <w:color w:val="17211B"/>
          <w:sz w:val="18"/>
        </w:rPr>
        <w:t>The implemented Stripe charge flow matches the approved merchant, fee, refund, dispute and negative-balance responsibilities.</w:t>
      </w:r>
    </w:p>
    <w:p>
      <w:pPr>
        <w:pStyle w:val="ListBullet"/>
        <w:spacing w:after="40" w:line="245" w:lineRule="auto"/>
      </w:pPr>
      <w:r>
        <w:rPr>
          <w:rFonts w:ascii="Arial" w:hAnsi="Arial"/>
          <w:color w:val="17211B"/>
          <w:sz w:val="18"/>
        </w:rPr>
        <w:t>No ordinary campaign uses both recipient-side charges and a later Dono transfer.</w:t>
      </w:r>
    </w:p>
    <w:p>
      <w:pPr>
        <w:pStyle w:val="ListBullet"/>
        <w:spacing w:after="40" w:line="245" w:lineRule="auto"/>
      </w:pPr>
      <w:r>
        <w:rPr>
          <w:rFonts w:ascii="Arial" w:hAnsi="Arial"/>
          <w:color w:val="17211B"/>
          <w:sz w:val="18"/>
        </w:rPr>
        <w:t>Every penny can be reconciled through immutable monetary fields and an append-only event history.</w:t>
      </w:r>
    </w:p>
    <w:p>
      <w:pPr>
        <w:pStyle w:val="ListBullet"/>
        <w:spacing w:after="40" w:line="245" w:lineRule="auto"/>
      </w:pPr>
      <w:r>
        <w:rPr>
          <w:rFonts w:ascii="Arial" w:hAnsi="Arial"/>
          <w:color w:val="17211B"/>
          <w:sz w:val="18"/>
        </w:rPr>
        <w:t>Refunds and disputes are distinct, support partial amounts and remain accurate under retries and out-of-order webhooks.</w:t>
      </w:r>
    </w:p>
    <w:p>
      <w:pPr>
        <w:pStyle w:val="ListBullet"/>
        <w:spacing w:after="40" w:line="245" w:lineRule="auto"/>
      </w:pPr>
      <w:r>
        <w:rPr>
          <w:rFonts w:ascii="Arial" w:hAnsi="Arial"/>
          <w:color w:val="17211B"/>
          <w:sz w:val="18"/>
        </w:rPr>
        <w:t>Campaign deadlines, moderation and financial freezes have explicit server-enforced transitions.</w:t>
      </w:r>
    </w:p>
    <w:p>
      <w:pPr>
        <w:pStyle w:val="ListBullet"/>
        <w:spacing w:after="40" w:line="245" w:lineRule="auto"/>
      </w:pPr>
      <w:r>
        <w:rPr>
          <w:rFonts w:ascii="Arial" w:hAnsi="Arial"/>
          <w:color w:val="17211B"/>
          <w:sz w:val="18"/>
        </w:rPr>
        <w:t>Community Fund payments are disabled or separately approved and implemented.</w:t>
      </w:r>
    </w:p>
    <w:p>
      <w:pPr>
        <w:pStyle w:val="ListBullet"/>
        <w:spacing w:after="40" w:line="245" w:lineRule="auto"/>
      </w:pPr>
      <w:r>
        <w:rPr>
          <w:rFonts w:ascii="Arial" w:hAnsi="Arial"/>
          <w:color w:val="17211B"/>
          <w:sz w:val="18"/>
        </w:rPr>
        <w:t>Identity data collection, retention and access match the final privacy documentation.</w:t>
      </w:r>
    </w:p>
    <w:p>
      <w:pPr>
        <w:pStyle w:val="ListBullet"/>
        <w:spacing w:after="40" w:line="245" w:lineRule="auto"/>
      </w:pPr>
      <w:r>
        <w:rPr>
          <w:rFonts w:ascii="Arial" w:hAnsi="Arial"/>
          <w:color w:val="17211B"/>
          <w:sz w:val="18"/>
        </w:rPr>
        <w:t>Required legal documents are versioned and acceptance is recorded at the correct user actions.</w:t>
      </w:r>
    </w:p>
    <w:p>
      <w:pPr>
        <w:pStyle w:val="ListBullet"/>
        <w:spacing w:after="40" w:line="245" w:lineRule="auto"/>
      </w:pPr>
      <w:r>
        <w:rPr>
          <w:rFonts w:ascii="Arial" w:hAnsi="Arial"/>
          <w:color w:val="17211B"/>
          <w:sz w:val="18"/>
        </w:rPr>
        <w:t>Automated tests cover the release gates, and a staged deployment and rollback plan are documented.</w:t>
      </w:r>
    </w:p>
    <w:p>
      <w:pPr>
        <w:pStyle w:val="ListBullet"/>
        <w:spacing w:after="40" w:line="245" w:lineRule="auto"/>
      </w:pPr>
      <w:r>
        <w:rPr>
          <w:rFonts w:ascii="Arial" w:hAnsi="Arial"/>
          <w:color w:val="17211B"/>
          <w:sz w:val="18"/>
        </w:rPr>
        <w:t>The legal documents are updated from the implemented behaviour, not from planned or aspirational functionality.</w:t>
      </w:r>
    </w:p>
    <w:tbl>
      <w:tblPr>
        <w:tblW w:type="auto" w:w="0"/>
        <w:jc w:val="center"/>
        <w:tblLayout w:type="autofit"/>
        <w:tblLook w:firstColumn="1" w:firstRow="1" w:lastColumn="0" w:lastRow="0" w:noHBand="0" w:noVBand="1" w:val="04A0"/>
      </w:tblPr>
      <w:tblGrid>
        <w:gridCol w:w="10282"/>
      </w:tblGrid>
      <w:tr>
        <w:tc>
          <w:tcPr>
            <w:tcW w:type="dxa" w:w="10282"/>
            <w:shd w:fill="E8F5EE"/>
            <w:tcMar>
              <w:top w:w="140" w:type="dxa"/>
              <w:start w:w="180" w:type="dxa"/>
              <w:bottom w:w="140" w:type="dxa"/>
              <w:end w:w="180" w:type="dxa"/>
            </w:tcMar>
          </w:tcPr>
          <w:p>
            <w:pPr>
              <w:spacing w:after="60"/>
            </w:pPr>
            <w:r>
              <w:rPr>
                <w:rFonts w:ascii="Arial" w:hAnsi="Arial"/>
                <w:b/>
                <w:color w:val="168456"/>
                <w:sz w:val="20"/>
              </w:rPr>
              <w:t>Final implementation principle</w:t>
            </w:r>
          </w:p>
          <w:p>
            <w:pPr>
              <w:spacing w:after="0" w:line="252" w:lineRule="auto"/>
            </w:pPr>
            <w:r>
              <w:rPr>
                <w:rFonts w:ascii="Arial" w:hAnsi="Arial"/>
                <w:color w:val="17211B"/>
                <w:sz w:val="18"/>
              </w:rPr>
              <w:t>Code, Stripe configuration and legal documents must describe the same operating model. Where a decision is unresolved, the feature must remain disabled or explicitly marked as non-production rather than filled with a guessed default.</w:t>
            </w:r>
          </w:p>
        </w:tc>
      </w:tr>
    </w:tbl>
    <w:p>
      <w:pPr>
        <w:spacing w:after="20"/>
      </w:pPr>
    </w:p>
    <w:p>
      <w:pPr>
        <w:pStyle w:val="Heading1"/>
      </w:pPr>
      <w:r>
        <w:t>Appendix A — reference material used</w:t>
      </w:r>
    </w:p>
    <w:p>
      <w:pPr>
        <w:keepNext w:val="0"/>
        <w:spacing w:after="100" w:before="0" w:line="259" w:lineRule="auto"/>
      </w:pPr>
      <w:r>
        <w:rPr>
          <w:rFonts w:ascii="Arial" w:hAnsi="Arial"/>
          <w:color w:val="17211B"/>
          <w:sz w:val="19"/>
        </w:rPr>
        <w:t>Repository files reviewed (current main branch):</w:t>
      </w:r>
    </w:p>
    <w:p>
      <w:pPr>
        <w:pStyle w:val="ListBullet"/>
        <w:spacing w:after="40" w:line="245" w:lineRule="auto"/>
      </w:pPr>
      <w:r>
        <w:rPr>
          <w:rFonts w:ascii="Arial" w:hAnsi="Arial"/>
          <w:color w:val="17211B"/>
          <w:sz w:val="18"/>
        </w:rPr>
        <w:t>convex/stripe.ts</w:t>
      </w:r>
    </w:p>
    <w:p>
      <w:pPr>
        <w:pStyle w:val="ListBullet"/>
        <w:spacing w:after="40" w:line="245" w:lineRule="auto"/>
      </w:pPr>
      <w:r>
        <w:rPr>
          <w:rFonts w:ascii="Arial" w:hAnsi="Arial"/>
          <w:color w:val="17211B"/>
          <w:sz w:val="18"/>
        </w:rPr>
        <w:t>convex/stripeConnect.ts</w:t>
      </w:r>
    </w:p>
    <w:p>
      <w:pPr>
        <w:pStyle w:val="ListBullet"/>
        <w:spacing w:after="40" w:line="245" w:lineRule="auto"/>
      </w:pPr>
      <w:r>
        <w:rPr>
          <w:rFonts w:ascii="Arial" w:hAnsi="Arial"/>
          <w:color w:val="17211B"/>
          <w:sz w:val="18"/>
        </w:rPr>
        <w:t>convex/stripeConnectInternal.ts</w:t>
      </w:r>
    </w:p>
    <w:p>
      <w:pPr>
        <w:pStyle w:val="ListBullet"/>
        <w:spacing w:after="40" w:line="245" w:lineRule="auto"/>
      </w:pPr>
      <w:r>
        <w:rPr>
          <w:rFonts w:ascii="Arial" w:hAnsi="Arial"/>
          <w:color w:val="17211B"/>
          <w:sz w:val="18"/>
        </w:rPr>
        <w:t>convex/stripeWebhook.ts</w:t>
      </w:r>
    </w:p>
    <w:p>
      <w:pPr>
        <w:pStyle w:val="ListBullet"/>
        <w:spacing w:after="40" w:line="245" w:lineRule="auto"/>
      </w:pPr>
      <w:r>
        <w:rPr>
          <w:rFonts w:ascii="Arial" w:hAnsi="Arial"/>
          <w:color w:val="17211B"/>
          <w:sz w:val="18"/>
        </w:rPr>
        <w:t>convex/stripeInternal.ts</w:t>
      </w:r>
    </w:p>
    <w:p>
      <w:pPr>
        <w:pStyle w:val="ListBullet"/>
        <w:spacing w:after="40" w:line="245" w:lineRule="auto"/>
      </w:pPr>
      <w:r>
        <w:rPr>
          <w:rFonts w:ascii="Arial" w:hAnsi="Arial"/>
          <w:color w:val="17211B"/>
          <w:sz w:val="18"/>
        </w:rPr>
        <w:t>convex/stripeFunds.ts</w:t>
      </w:r>
    </w:p>
    <w:p>
      <w:pPr>
        <w:pStyle w:val="ListBullet"/>
        <w:spacing w:after="40" w:line="245" w:lineRule="auto"/>
      </w:pPr>
      <w:r>
        <w:rPr>
          <w:rFonts w:ascii="Arial" w:hAnsi="Arial"/>
          <w:color w:val="17211B"/>
          <w:sz w:val="18"/>
        </w:rPr>
        <w:t>convex/schema.ts</w:t>
      </w:r>
    </w:p>
    <w:p>
      <w:pPr>
        <w:pStyle w:val="ListBullet"/>
        <w:spacing w:after="40" w:line="245" w:lineRule="auto"/>
      </w:pPr>
      <w:r>
        <w:rPr>
          <w:rFonts w:ascii="Arial" w:hAnsi="Arial"/>
          <w:color w:val="17211B"/>
          <w:sz w:val="18"/>
        </w:rPr>
        <w:t>convex/validators.ts</w:t>
      </w:r>
    </w:p>
    <w:p>
      <w:pPr>
        <w:pStyle w:val="ListBullet"/>
        <w:spacing w:after="40" w:line="245" w:lineRule="auto"/>
      </w:pPr>
      <w:r>
        <w:rPr>
          <w:rFonts w:ascii="Arial" w:hAnsi="Arial"/>
          <w:color w:val="17211B"/>
          <w:sz w:val="18"/>
        </w:rPr>
        <w:t>convex/campaigns.ts</w:t>
      </w:r>
    </w:p>
    <w:p>
      <w:pPr>
        <w:pStyle w:val="ListBullet"/>
        <w:spacing w:after="40" w:line="245" w:lineRule="auto"/>
      </w:pPr>
      <w:r>
        <w:rPr>
          <w:rFonts w:ascii="Arial" w:hAnsi="Arial"/>
          <w:color w:val="17211B"/>
          <w:sz w:val="18"/>
        </w:rPr>
        <w:t>convex/campaignCreator.ts</w:t>
      </w:r>
    </w:p>
    <w:p>
      <w:pPr>
        <w:pStyle w:val="ListBullet"/>
        <w:spacing w:after="40" w:line="245" w:lineRule="auto"/>
      </w:pPr>
      <w:r>
        <w:rPr>
          <w:rFonts w:ascii="Arial" w:hAnsi="Arial"/>
          <w:color w:val="17211B"/>
          <w:sz w:val="18"/>
        </w:rPr>
        <w:t>convex/campaignIdentity.ts</w:t>
      </w:r>
    </w:p>
    <w:p>
      <w:pPr>
        <w:pStyle w:val="ListBullet"/>
        <w:spacing w:after="40" w:line="245" w:lineRule="auto"/>
      </w:pPr>
      <w:r>
        <w:rPr>
          <w:rFonts w:ascii="Arial" w:hAnsi="Arial"/>
          <w:color w:val="17211B"/>
          <w:sz w:val="18"/>
        </w:rPr>
        <w:t>convex/societies.ts</w:t>
      </w:r>
    </w:p>
    <w:p>
      <w:pPr>
        <w:pStyle w:val="ListBullet"/>
        <w:spacing w:after="40" w:line="245" w:lineRule="auto"/>
      </w:pPr>
      <w:r>
        <w:rPr>
          <w:rFonts w:ascii="Arial" w:hAnsi="Arial"/>
          <w:color w:val="17211B"/>
          <w:sz w:val="18"/>
        </w:rPr>
        <w:t>convex/lib/applyDonationToCampaign.ts</w:t>
      </w:r>
    </w:p>
    <w:p>
      <w:pPr>
        <w:pStyle w:val="ListBullet"/>
        <w:spacing w:after="40" w:line="245" w:lineRule="auto"/>
      </w:pPr>
      <w:r>
        <w:rPr>
          <w:rFonts w:ascii="Arial" w:hAnsi="Arial"/>
          <w:color w:val="17211B"/>
          <w:sz w:val="18"/>
        </w:rPr>
        <w:t>convex/lib/campaignVisibility.ts</w:t>
      </w:r>
    </w:p>
    <w:p>
      <w:pPr>
        <w:pStyle w:val="ListBullet"/>
        <w:spacing w:after="40" w:line="245" w:lineRule="auto"/>
      </w:pPr>
      <w:r>
        <w:rPr>
          <w:rFonts w:ascii="Arial" w:hAnsi="Arial"/>
          <w:color w:val="17211B"/>
          <w:sz w:val="18"/>
        </w:rPr>
        <w:t>app/_layout.tsx</w:t>
      </w:r>
    </w:p>
    <w:p>
      <w:pPr>
        <w:pStyle w:val="ListBullet"/>
        <w:spacing w:after="40" w:line="245" w:lineRule="auto"/>
      </w:pPr>
      <w:r>
        <w:rPr>
          <w:rFonts w:ascii="Arial" w:hAnsi="Arial"/>
          <w:color w:val="17211B"/>
          <w:sz w:val="18"/>
        </w:rPr>
        <w:t>lib/auth-storage.ts</w:t>
      </w:r>
    </w:p>
    <w:p>
      <w:pPr>
        <w:pStyle w:val="ListBullet"/>
        <w:spacing w:after="40" w:line="245" w:lineRule="auto"/>
      </w:pPr>
      <w:r>
        <w:rPr>
          <w:rFonts w:ascii="Arial" w:hAnsi="Arial"/>
          <w:color w:val="17211B"/>
          <w:sz w:val="18"/>
        </w:rPr>
        <w:t>README.md and CLAUDE.md</w:t>
      </w:r>
    </w:p>
    <w:p>
      <w:pPr>
        <w:keepNext w:val="0"/>
        <w:spacing w:after="100" w:before="0" w:line="259" w:lineRule="auto"/>
      </w:pPr>
      <w:r>
        <w:rPr>
          <w:rFonts w:ascii="Arial" w:hAnsi="Arial"/>
          <w:color w:val="17211B"/>
          <w:sz w:val="19"/>
        </w:rPr>
        <w:t>Official Stripe documentation checked on 20 July 2026:</w:t>
      </w:r>
    </w:p>
    <w:p>
      <w:pPr>
        <w:pStyle w:val="ListBullet"/>
        <w:spacing w:after="40" w:line="245" w:lineRule="auto"/>
      </w:pPr>
      <w:r>
        <w:rPr>
          <w:rFonts w:ascii="Arial" w:hAnsi="Arial"/>
          <w:color w:val="17211B"/>
          <w:sz w:val="18"/>
        </w:rPr>
        <w:t>Create direct charges</w:t>
      </w:r>
    </w:p>
    <w:p>
      <w:pPr>
        <w:pStyle w:val="ListBullet"/>
        <w:spacing w:after="40" w:line="245" w:lineRule="auto"/>
      </w:pPr>
      <w:r>
        <w:rPr>
          <w:rFonts w:ascii="Arial" w:hAnsi="Arial"/>
          <w:color w:val="17211B"/>
          <w:sz w:val="18"/>
        </w:rPr>
        <w:t>Create separate charges and transfers</w:t>
      </w:r>
    </w:p>
    <w:p>
      <w:pPr>
        <w:pStyle w:val="ListBullet"/>
        <w:spacing w:after="40" w:line="245" w:lineRule="auto"/>
      </w:pPr>
      <w:r>
        <w:rPr>
          <w:rFonts w:ascii="Arial" w:hAnsi="Arial"/>
          <w:color w:val="17211B"/>
          <w:sz w:val="18"/>
        </w:rPr>
        <w:t>Handle refunds and disputes</w:t>
      </w:r>
    </w:p>
    <w:p>
      <w:pPr>
        <w:pStyle w:val="ListBullet"/>
        <w:spacing w:after="40" w:line="245" w:lineRule="auto"/>
      </w:pPr>
      <w:r>
        <w:rPr>
          <w:rFonts w:ascii="Arial" w:hAnsi="Arial"/>
          <w:color w:val="17211B"/>
          <w:sz w:val="18"/>
        </w:rPr>
        <w:t>Risk and liability management with Connect</w:t>
      </w:r>
    </w:p>
    <w:p>
      <w:pPr>
        <w:pStyle w:val="ListBullet"/>
        <w:spacing w:after="40" w:line="245" w:lineRule="auto"/>
      </w:pPr>
      <w:r>
        <w:rPr>
          <w:rFonts w:ascii="Arial" w:hAnsi="Arial"/>
          <w:color w:val="17211B"/>
          <w:sz w:val="18"/>
        </w:rPr>
        <w:t>Recommended Connect integrations and charge types</w:t>
      </w:r>
    </w:p>
    <w:p>
      <w:pPr>
        <w:pStyle w:val="ListBullet"/>
        <w:spacing w:after="40" w:line="245" w:lineRule="auto"/>
      </w:pPr>
      <w:r>
        <w:rPr>
          <w:rFonts w:ascii="Arial" w:hAnsi="Arial"/>
          <w:color w:val="17211B"/>
          <w:sz w:val="18"/>
        </w:rPr>
        <w:t>Migrate to a supported Connect configuration</w:t>
      </w:r>
    </w:p>
    <w:p>
      <w:pPr>
        <w:keepNext w:val="0"/>
        <w:spacing w:after="0" w:before="120" w:line="259" w:lineRule="auto"/>
      </w:pPr>
      <w:r>
        <w:rPr>
          <w:rFonts w:ascii="Arial" w:hAnsi="Arial"/>
          <w:color w:val="17211B"/>
          <w:sz w:val="19"/>
        </w:rPr>
        <w:t>This document is an engineering translation of the implementation review. It is not legal advice and does not replace final legal approval of the selected payment structure.</w:t>
      </w:r>
    </w:p>
    <w:sectPr w:rsidR="00FC693F" w:rsidRPr="0006063C" w:rsidSect="00034616">
      <w:headerReference w:type="default" r:id="rId9"/>
      <w:footerReference w:type="default" r:id="rId10"/>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6615A"/>
        <w:sz w:val="15"/>
      </w:rPr>
      <w:t xml:space="preserve">Internal working document  •  20 July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6615A"/>
        <w:sz w:val="15"/>
      </w:rPr>
      <w:t>DONO  |  ENGINEERING CHANGE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7211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68456"/>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17211B"/>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1684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211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Arial" w:hAnsi="Arial"/>
      <w:b w:val="0"/>
      <w:i/>
      <w:iCs/>
      <w:color w:val="5661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Dono Payments, Refunds and Legal-Readiness Changes</dc:title>
  <dc:subject>Engineering handoff for payment architecture, refunds, disputes and campaign lifecycle changes</dc:subject>
  <dc:creator>Dono</dc:creator>
  <cp:keywords>Dono, Stripe Connect, payments, refunds, disputes, engineering handoff</cp:keywords>
  <dc:description>generated by python-docx</dc:description>
  <cp:lastModifiedBy/>
  <cp:revision>1</cp:revision>
  <dcterms:created xsi:type="dcterms:W3CDTF">2013-12-23T23:15:00Z</dcterms:created>
  <dcterms:modified xsi:type="dcterms:W3CDTF">2013-12-23T23:15:00Z</dcterms:modified>
  <cp:category/>
</cp:coreProperties>
</file>