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GUI 내에서 패킷캡처 </w:t>
            </w:r>
            <w:r>
              <w:rPr>
                <w:rFonts w:hint="eastAsia"/>
                <w:lang w:eastAsia="ko-KR"/>
              </w:rPr>
              <w:t xml:space="preserve">text파일 적용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패킷 로직부분 멀티스레드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바탕화면에 txt파일로 패킷 내용을 내보내서 확인가능하도록 합니다.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그리고 그파일을 불러와서 GUI상에서 확인가능하도록 하였습니다.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저장기능과 불러오기 기능을 멀티스레드로 하였습니다.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하지만 라벨로 하였기에 스크롤바가없어서 지난 것들은 확인이 불가능합니다.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바탕화면에 저장되어있는 것들로 확인하여야합니다.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패킷 </w:t>
            </w:r>
            <w:r>
              <w:rPr>
                <w:rFonts w:hint="eastAsia"/>
                <w:lang w:eastAsia="ko-KR"/>
              </w:rPr>
              <w:t>text파일저장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완료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저장기능 불러오기 기능 멀티스레드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완료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8076_230679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945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018C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3B4A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198C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22A4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28B9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2B7F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18D3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31BB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1ED0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00C7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D76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503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058C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2E7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33E3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