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프로젝트 기획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lang w:eastAsia="ko-KR"/>
              </w:rPr>
              <w:t xml:space="preserve">프로젝트 방향성 회의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lang w:eastAsia="ko-KR"/>
              </w:rPr>
              <w:t xml:space="preserve">슬로우리스 공격 기법 조사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팀장 선정 , 문서 소스 공유 플랫폼 선정 : 깃허브 , 구글드라이브, 의견교환 플랫폼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선정 : 실시간 음성채팅(디스코드) , 대화형 채팅(카카오톡)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내일 까지 land공격 기법 2명 tcp/udp 플러딩공격2명 조사하기 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슬로우리스 공격기법 은 서버에 취약한 것을 확인하였고 웹 서버는 살아있지만 웹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서버 프로그램만 Dos 상태에 빠지는 것을 확인하였다. 기존의 DDOS공격 과는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달리 낮은 트래픽으로도 충분한 효과를 볼수있음을 확인하였다. 취약한 서버는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아파치 서버 1.x 2.x,dhttpd 등이 있고 취약하지 않은 서버는 IIS 6.0 ,7.0 이 있다는걸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확인하였습니다. 특정 서버들은 취약하지 않은 이유는 웹서버의 구조적 문제인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것을 확인하였습니다..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이런 공격기법들을 토대로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python을 이용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>하여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GUI .exe파일을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제작하기로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>하였습니다.</w:t>
            </w: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팀장 선정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소스 공유 플랫폼 , 의견교환 플랫폼 선정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공격기법 공부 계획성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2020.12.14~2020.12.15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내용을 작성하세요.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내용을 작성하세요.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4412_10616640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226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197A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1B4F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0372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22DF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3AEF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3631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26AD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08AC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19AA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2DB9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889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0ED3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4A1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02AC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DC8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2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