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FF5B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 xml:space="preserve">Comparativo: ISO/IEC 27001 </w:t>
      </w:r>
      <w:proofErr w:type="spellStart"/>
      <w:r w:rsidRPr="009B1B5C">
        <w:rPr>
          <w:b/>
          <w:bCs/>
        </w:rPr>
        <w:t>vs</w:t>
      </w:r>
      <w:proofErr w:type="spellEnd"/>
      <w:r w:rsidRPr="009B1B5C">
        <w:rPr>
          <w:b/>
          <w:bCs/>
        </w:rPr>
        <w:t xml:space="preserve"> PCI DSS</w:t>
      </w:r>
    </w:p>
    <w:p w14:paraId="1A46E6F4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Projeto de Entrega — Atividade 2</w:t>
      </w:r>
    </w:p>
    <w:p w14:paraId="2AA674FA" w14:textId="77777777" w:rsidR="009B1B5C" w:rsidRDefault="009B1B5C" w:rsidP="009B1B5C">
      <w:r w:rsidRPr="009B1B5C">
        <w:rPr>
          <w:b/>
          <w:bCs/>
        </w:rPr>
        <w:t>Equipe:</w:t>
      </w:r>
      <w:r w:rsidRPr="009B1B5C">
        <w:t xml:space="preserve"> </w:t>
      </w:r>
    </w:p>
    <w:p w14:paraId="2D16EE84" w14:textId="521C81A5" w:rsidR="009B1B5C" w:rsidRPr="009B1B5C" w:rsidRDefault="009B1B5C" w:rsidP="009B1B5C">
      <w:r w:rsidRPr="009B1B5C">
        <w:br/>
      </w:r>
      <w:r w:rsidRPr="009B1B5C">
        <w:rPr>
          <w:b/>
          <w:bCs/>
        </w:rPr>
        <w:t>Objetivo:</w:t>
      </w:r>
      <w:r w:rsidRPr="009B1B5C">
        <w:t xml:space="preserve"> Estudo comparativo entre duas certificações de Segurança da Informação: </w:t>
      </w:r>
      <w:r w:rsidRPr="009B1B5C">
        <w:rPr>
          <w:b/>
          <w:bCs/>
        </w:rPr>
        <w:t>ISO/IEC 27001</w:t>
      </w:r>
      <w:r w:rsidRPr="009B1B5C">
        <w:t xml:space="preserve"> e </w:t>
      </w:r>
      <w:r w:rsidRPr="009B1B5C">
        <w:rPr>
          <w:b/>
          <w:bCs/>
        </w:rPr>
        <w:t>PCI DSS</w:t>
      </w:r>
      <w:r w:rsidRPr="009B1B5C">
        <w:t>. Inclui relatório, infográfico e roteiro de apresentação em grupo.</w:t>
      </w:r>
    </w:p>
    <w:p w14:paraId="63C9150E" w14:textId="77777777" w:rsidR="009B1B5C" w:rsidRPr="009B1B5C" w:rsidRDefault="009B1B5C" w:rsidP="009B1B5C">
      <w:r w:rsidRPr="009B1B5C">
        <w:pict w14:anchorId="4B216CFB">
          <v:rect id="_x0000_i1103" style="width:0;height:1.5pt" o:hralign="center" o:hrstd="t" o:hr="t" fillcolor="#a0a0a0" stroked="f"/>
        </w:pict>
      </w:r>
    </w:p>
    <w:p w14:paraId="3439AD24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Sumário Executivo</w:t>
      </w:r>
    </w:p>
    <w:p w14:paraId="23B40137" w14:textId="77777777" w:rsidR="009B1B5C" w:rsidRPr="009B1B5C" w:rsidRDefault="009B1B5C" w:rsidP="009B1B5C">
      <w:r w:rsidRPr="009B1B5C">
        <w:t>Breve resumo das conclusões principais (para leitura rápida durante a apresentação):</w:t>
      </w:r>
    </w:p>
    <w:p w14:paraId="4B9F6B3A" w14:textId="77777777" w:rsidR="009B1B5C" w:rsidRPr="009B1B5C" w:rsidRDefault="009B1B5C" w:rsidP="009B1B5C">
      <w:pPr>
        <w:numPr>
          <w:ilvl w:val="0"/>
          <w:numId w:val="1"/>
        </w:numPr>
      </w:pPr>
      <w:r w:rsidRPr="009B1B5C">
        <w:rPr>
          <w:b/>
          <w:bCs/>
        </w:rPr>
        <w:t>ISO/IEC 27001</w:t>
      </w:r>
      <w:r w:rsidRPr="009B1B5C">
        <w:t xml:space="preserve"> é um padrão internacional para um Sistema de Gestão de Segurança da Informação (ISMS) aplicável a qualquer organização que queira gerir riscos de informação de forma sistemática e com melhoria contínua.</w:t>
      </w:r>
    </w:p>
    <w:p w14:paraId="3DE17E84" w14:textId="77777777" w:rsidR="009B1B5C" w:rsidRPr="009B1B5C" w:rsidRDefault="009B1B5C" w:rsidP="009B1B5C">
      <w:pPr>
        <w:numPr>
          <w:ilvl w:val="0"/>
          <w:numId w:val="1"/>
        </w:numPr>
      </w:pPr>
      <w:r w:rsidRPr="009B1B5C">
        <w:rPr>
          <w:b/>
          <w:bCs/>
        </w:rPr>
        <w:t>PCI DSS</w:t>
      </w:r>
      <w:r w:rsidRPr="009B1B5C">
        <w:t xml:space="preserve"> é um padrão prescritivo específico para proteger dados de cartão de pagamento — obrigatório para qualquer entidade que armazene, processe ou transmita dados de portador de cartão.</w:t>
      </w:r>
    </w:p>
    <w:p w14:paraId="0EBF5DC1" w14:textId="77777777" w:rsidR="009B1B5C" w:rsidRPr="009B1B5C" w:rsidRDefault="009B1B5C" w:rsidP="009B1B5C">
      <w:pPr>
        <w:numPr>
          <w:ilvl w:val="0"/>
          <w:numId w:val="1"/>
        </w:numPr>
      </w:pPr>
      <w:r w:rsidRPr="009B1B5C">
        <w:t>Há sobreposição entre controles; implementar um ISMS alinhado à ISO 27001 facilita o cumprimento de muitos requisitos do PCI DSS, mas PCI DSS tem requisitos técnicos e verificação específicos que permanecem obrigatórios.</w:t>
      </w:r>
    </w:p>
    <w:p w14:paraId="5E7C79BF" w14:textId="77777777" w:rsidR="009B1B5C" w:rsidRPr="009B1B5C" w:rsidRDefault="009B1B5C" w:rsidP="009B1B5C">
      <w:r w:rsidRPr="009B1B5C">
        <w:pict w14:anchorId="5C5EB26C">
          <v:rect id="_x0000_i1104" style="width:0;height:1.5pt" o:hralign="center" o:hrstd="t" o:hr="t" fillcolor="#a0a0a0" stroked="f"/>
        </w:pict>
      </w:r>
    </w:p>
    <w:p w14:paraId="68577CE9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1. Requisitos para certificação / conformidade</w:t>
      </w:r>
    </w:p>
    <w:p w14:paraId="7F5FDF64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ISO/IEC 27001</w:t>
      </w:r>
    </w:p>
    <w:p w14:paraId="1C09FCFC" w14:textId="77777777" w:rsidR="009B1B5C" w:rsidRPr="009B1B5C" w:rsidRDefault="009B1B5C" w:rsidP="009B1B5C">
      <w:pPr>
        <w:numPr>
          <w:ilvl w:val="0"/>
          <w:numId w:val="2"/>
        </w:numPr>
      </w:pPr>
      <w:r w:rsidRPr="009B1B5C">
        <w:t xml:space="preserve">Exigir implementação de um </w:t>
      </w:r>
      <w:r w:rsidRPr="009B1B5C">
        <w:rPr>
          <w:b/>
          <w:bCs/>
        </w:rPr>
        <w:t>ISMS</w:t>
      </w:r>
      <w:r w:rsidRPr="009B1B5C">
        <w:t xml:space="preserve"> com escopo definido, política de segurança, análise e tratamento de riscos, objetivos mensuráveis e processo de melhoria contínua (PDCA).</w:t>
      </w:r>
    </w:p>
    <w:p w14:paraId="463B1A8D" w14:textId="77777777" w:rsidR="009B1B5C" w:rsidRPr="009B1B5C" w:rsidRDefault="009B1B5C" w:rsidP="009B1B5C">
      <w:pPr>
        <w:numPr>
          <w:ilvl w:val="0"/>
          <w:numId w:val="2"/>
        </w:numPr>
      </w:pPr>
      <w:r w:rsidRPr="009B1B5C">
        <w:t xml:space="preserve">Preparar </w:t>
      </w:r>
      <w:r w:rsidRPr="009B1B5C">
        <w:rPr>
          <w:b/>
          <w:bCs/>
        </w:rPr>
        <w:t>Declaração de Aplicabilidade (</w:t>
      </w:r>
      <w:proofErr w:type="spellStart"/>
      <w:r w:rsidRPr="009B1B5C">
        <w:rPr>
          <w:b/>
          <w:bCs/>
        </w:rPr>
        <w:t>SoA</w:t>
      </w:r>
      <w:proofErr w:type="spellEnd"/>
      <w:r w:rsidRPr="009B1B5C">
        <w:rPr>
          <w:b/>
          <w:bCs/>
        </w:rPr>
        <w:t>)</w:t>
      </w:r>
      <w:r w:rsidRPr="009B1B5C">
        <w:t xml:space="preserve"> e evidências de implementação dos controles selecionados.</w:t>
      </w:r>
    </w:p>
    <w:p w14:paraId="6476663E" w14:textId="77777777" w:rsidR="009B1B5C" w:rsidRPr="009B1B5C" w:rsidRDefault="009B1B5C" w:rsidP="009B1B5C">
      <w:pPr>
        <w:numPr>
          <w:ilvl w:val="0"/>
          <w:numId w:val="2"/>
        </w:numPr>
      </w:pPr>
      <w:r w:rsidRPr="009B1B5C">
        <w:t>Anexo A (</w:t>
      </w:r>
      <w:proofErr w:type="spellStart"/>
      <w:r w:rsidRPr="009B1B5C">
        <w:t>controls</w:t>
      </w:r>
      <w:proofErr w:type="spellEnd"/>
      <w:r w:rsidRPr="009B1B5C">
        <w:t>) serve como catálogo de possíveis controles — atualmente agrupa controles em categorias organizacional, pessoas, física e tecnológica.</w:t>
      </w:r>
    </w:p>
    <w:p w14:paraId="2D3D3C41" w14:textId="77777777" w:rsidR="009B1B5C" w:rsidRPr="009B1B5C" w:rsidRDefault="009B1B5C" w:rsidP="009B1B5C">
      <w:pPr>
        <w:numPr>
          <w:ilvl w:val="0"/>
          <w:numId w:val="2"/>
        </w:numPr>
      </w:pPr>
      <w:r w:rsidRPr="009B1B5C">
        <w:lastRenderedPageBreak/>
        <w:t>Auditoria de terceira parte para certificação por um organismo certificador acreditado (auditoria inicial, auditorias de vigilância periódicas e recertificação).</w:t>
      </w:r>
    </w:p>
    <w:p w14:paraId="213D5A63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PCI DSS</w:t>
      </w:r>
    </w:p>
    <w:p w14:paraId="49C15A76" w14:textId="77777777" w:rsidR="009B1B5C" w:rsidRPr="009B1B5C" w:rsidRDefault="009B1B5C" w:rsidP="009B1B5C">
      <w:pPr>
        <w:numPr>
          <w:ilvl w:val="0"/>
          <w:numId w:val="3"/>
        </w:numPr>
      </w:pPr>
      <w:r w:rsidRPr="009B1B5C">
        <w:t xml:space="preserve">Conformidade com um conjunto prescritivo de requisitos técnicos e organizacionais (p.ex. requisitos de rede, criptografia, </w:t>
      </w:r>
      <w:proofErr w:type="spellStart"/>
      <w:r w:rsidRPr="009B1B5C">
        <w:t>logging</w:t>
      </w:r>
      <w:proofErr w:type="spellEnd"/>
      <w:r w:rsidRPr="009B1B5C">
        <w:t>, controle de acesso).</w:t>
      </w:r>
    </w:p>
    <w:p w14:paraId="19B83A2F" w14:textId="77777777" w:rsidR="009B1B5C" w:rsidRPr="009B1B5C" w:rsidRDefault="009B1B5C" w:rsidP="009B1B5C">
      <w:pPr>
        <w:numPr>
          <w:ilvl w:val="0"/>
          <w:numId w:val="3"/>
        </w:numPr>
      </w:pPr>
      <w:r w:rsidRPr="009B1B5C">
        <w:t xml:space="preserve">Avaliação da conformidade feita por Self-Assessment </w:t>
      </w:r>
      <w:proofErr w:type="spellStart"/>
      <w:r w:rsidRPr="009B1B5C">
        <w:t>Questionnaire</w:t>
      </w:r>
      <w:proofErr w:type="spellEnd"/>
      <w:r w:rsidRPr="009B1B5C">
        <w:t xml:space="preserve"> (SAQ) para muitos comerciantes ou por um </w:t>
      </w:r>
      <w:proofErr w:type="spellStart"/>
      <w:r w:rsidRPr="009B1B5C">
        <w:t>Qualified</w:t>
      </w:r>
      <w:proofErr w:type="spellEnd"/>
      <w:r w:rsidRPr="009B1B5C">
        <w:t xml:space="preserve"> Security Assessor (QSA) + Report </w:t>
      </w:r>
      <w:proofErr w:type="spellStart"/>
      <w:r w:rsidRPr="009B1B5C">
        <w:t>on</w:t>
      </w:r>
      <w:proofErr w:type="spellEnd"/>
      <w:r w:rsidRPr="009B1B5C">
        <w:t xml:space="preserve"> Compliance (</w:t>
      </w:r>
      <w:proofErr w:type="spellStart"/>
      <w:r w:rsidRPr="009B1B5C">
        <w:t>RoC</w:t>
      </w:r>
      <w:proofErr w:type="spellEnd"/>
      <w:r w:rsidRPr="009B1B5C">
        <w:t>) para entidades de maior porte.</w:t>
      </w:r>
    </w:p>
    <w:p w14:paraId="4B9CE455" w14:textId="77777777" w:rsidR="009B1B5C" w:rsidRPr="009B1B5C" w:rsidRDefault="009B1B5C" w:rsidP="009B1B5C">
      <w:pPr>
        <w:numPr>
          <w:ilvl w:val="0"/>
          <w:numId w:val="3"/>
        </w:numPr>
      </w:pPr>
      <w:r w:rsidRPr="009B1B5C">
        <w:t>Diferentes níveis de conformidade (</w:t>
      </w:r>
      <w:proofErr w:type="spellStart"/>
      <w:r w:rsidRPr="009B1B5C">
        <w:t>Levels</w:t>
      </w:r>
      <w:proofErr w:type="spellEnd"/>
      <w:r w:rsidRPr="009B1B5C">
        <w:t xml:space="preserve"> 1–4) determinam requisitos de avaliação e frequência de auditoria.</w:t>
      </w:r>
    </w:p>
    <w:p w14:paraId="5CF060C0" w14:textId="77777777" w:rsidR="009B1B5C" w:rsidRPr="009B1B5C" w:rsidRDefault="009B1B5C" w:rsidP="009B1B5C">
      <w:pPr>
        <w:numPr>
          <w:ilvl w:val="0"/>
          <w:numId w:val="3"/>
        </w:numPr>
      </w:pPr>
      <w:r w:rsidRPr="009B1B5C">
        <w:t>Atualizações periódicas da versão do padrão (ex.: PCI DSS 4.0 introduz novas exigências e abordagem flexível para implementação de objetivos).</w:t>
      </w:r>
    </w:p>
    <w:p w14:paraId="0CBC97B8" w14:textId="77777777" w:rsidR="009B1B5C" w:rsidRPr="009B1B5C" w:rsidRDefault="009B1B5C" w:rsidP="009B1B5C">
      <w:r w:rsidRPr="009B1B5C">
        <w:pict w14:anchorId="37EFBFE3">
          <v:rect id="_x0000_i1105" style="width:0;height:1.5pt" o:hralign="center" o:hrstd="t" o:hr="t" fillcolor="#a0a0a0" stroked="f"/>
        </w:pict>
      </w:r>
    </w:p>
    <w:p w14:paraId="3A152BE3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2. Setores de atuação</w:t>
      </w:r>
    </w:p>
    <w:p w14:paraId="5941663A" w14:textId="77777777" w:rsidR="009B1B5C" w:rsidRPr="009B1B5C" w:rsidRDefault="009B1B5C" w:rsidP="009B1B5C">
      <w:pPr>
        <w:numPr>
          <w:ilvl w:val="0"/>
          <w:numId w:val="4"/>
        </w:numPr>
      </w:pPr>
      <w:r w:rsidRPr="009B1B5C">
        <w:rPr>
          <w:b/>
          <w:bCs/>
        </w:rPr>
        <w:t>ISO/IEC 27001:</w:t>
      </w:r>
      <w:r w:rsidRPr="009B1B5C">
        <w:t xml:space="preserve"> Aplicável a qualquer setor (TI, financeiro, saúde, energia, manufatura, governo, serviços). Muito adotado por empresas que fornecem serviços gerenciados, provedores de nuvem, empresas que precisam demonstrar gestão madura de riscos a clientes e parceiros.</w:t>
      </w:r>
    </w:p>
    <w:p w14:paraId="3CFB92D7" w14:textId="77777777" w:rsidR="009B1B5C" w:rsidRPr="009B1B5C" w:rsidRDefault="009B1B5C" w:rsidP="009B1B5C">
      <w:pPr>
        <w:numPr>
          <w:ilvl w:val="0"/>
          <w:numId w:val="4"/>
        </w:numPr>
      </w:pPr>
      <w:r w:rsidRPr="009B1B5C">
        <w:rPr>
          <w:b/>
          <w:bCs/>
        </w:rPr>
        <w:t>PCI DSS:</w:t>
      </w:r>
      <w:r w:rsidRPr="009B1B5C">
        <w:t xml:space="preserve"> Específico para o setor de pagamentos — comerciantes (e</w:t>
      </w:r>
      <w:r w:rsidRPr="009B1B5C">
        <w:noBreakHyphen/>
        <w:t>commerce e físico), gateways de pagamento, processadoras, adquirentes, emissores e provedores de serviços que manuseiam dados de cartão.</w:t>
      </w:r>
    </w:p>
    <w:p w14:paraId="1A3D1ECB" w14:textId="77777777" w:rsidR="009B1B5C" w:rsidRPr="009B1B5C" w:rsidRDefault="009B1B5C" w:rsidP="009B1B5C">
      <w:r w:rsidRPr="009B1B5C">
        <w:pict w14:anchorId="03A13B77">
          <v:rect id="_x0000_i1106" style="width:0;height:1.5pt" o:hralign="center" o:hrstd="t" o:hr="t" fillcolor="#a0a0a0" stroked="f"/>
        </w:pict>
      </w:r>
    </w:p>
    <w:p w14:paraId="35D31FAC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3. Benefícios de obter cada certificação (resumo)</w:t>
      </w:r>
    </w:p>
    <w:p w14:paraId="7F72DFB9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ISO/IEC 27001</w:t>
      </w:r>
    </w:p>
    <w:p w14:paraId="74FDBF07" w14:textId="77777777" w:rsidR="009B1B5C" w:rsidRPr="009B1B5C" w:rsidRDefault="009B1B5C" w:rsidP="009B1B5C">
      <w:pPr>
        <w:numPr>
          <w:ilvl w:val="0"/>
          <w:numId w:val="5"/>
        </w:numPr>
      </w:pPr>
      <w:r w:rsidRPr="009B1B5C">
        <w:t>Gestão sistemática de riscos e melhoria contínua.</w:t>
      </w:r>
    </w:p>
    <w:p w14:paraId="45967571" w14:textId="77777777" w:rsidR="009B1B5C" w:rsidRPr="009B1B5C" w:rsidRDefault="009B1B5C" w:rsidP="009B1B5C">
      <w:pPr>
        <w:numPr>
          <w:ilvl w:val="0"/>
          <w:numId w:val="5"/>
        </w:numPr>
      </w:pPr>
      <w:r w:rsidRPr="009B1B5C">
        <w:t>Reputação e vantagem competitiva (clientes exigem certificação como requisito de contratação).</w:t>
      </w:r>
    </w:p>
    <w:p w14:paraId="38243A4E" w14:textId="77777777" w:rsidR="009B1B5C" w:rsidRPr="009B1B5C" w:rsidRDefault="009B1B5C" w:rsidP="009B1B5C">
      <w:pPr>
        <w:numPr>
          <w:ilvl w:val="0"/>
          <w:numId w:val="5"/>
        </w:numPr>
      </w:pPr>
      <w:r w:rsidRPr="009B1B5C">
        <w:t>Redução de incidentes e custos associados; suporte em obrigações regulatórias.</w:t>
      </w:r>
    </w:p>
    <w:p w14:paraId="60DD9C66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PCI DSS</w:t>
      </w:r>
    </w:p>
    <w:p w14:paraId="30C5DBA2" w14:textId="77777777" w:rsidR="009B1B5C" w:rsidRPr="009B1B5C" w:rsidRDefault="009B1B5C" w:rsidP="009B1B5C">
      <w:pPr>
        <w:numPr>
          <w:ilvl w:val="0"/>
          <w:numId w:val="6"/>
        </w:numPr>
      </w:pPr>
      <w:r w:rsidRPr="009B1B5C">
        <w:lastRenderedPageBreak/>
        <w:t>Redução do risco de vazamento de dados de cartão e fraudes.</w:t>
      </w:r>
    </w:p>
    <w:p w14:paraId="3187A2E1" w14:textId="77777777" w:rsidR="009B1B5C" w:rsidRPr="009B1B5C" w:rsidRDefault="009B1B5C" w:rsidP="009B1B5C">
      <w:pPr>
        <w:numPr>
          <w:ilvl w:val="0"/>
          <w:numId w:val="6"/>
        </w:numPr>
      </w:pPr>
      <w:r w:rsidRPr="009B1B5C">
        <w:t>Evita multas e penalidades impostas por bandeiras e adquirentes; possibilita continuar a aceitar pagamentos com cartão.</w:t>
      </w:r>
    </w:p>
    <w:p w14:paraId="3B806117" w14:textId="77777777" w:rsidR="009B1B5C" w:rsidRPr="009B1B5C" w:rsidRDefault="009B1B5C" w:rsidP="009B1B5C">
      <w:pPr>
        <w:numPr>
          <w:ilvl w:val="0"/>
          <w:numId w:val="6"/>
        </w:numPr>
      </w:pPr>
      <w:r w:rsidRPr="009B1B5C">
        <w:t>Proteção específica do ativo "</w:t>
      </w:r>
      <w:proofErr w:type="spellStart"/>
      <w:r w:rsidRPr="009B1B5C">
        <w:t>cardholder</w:t>
      </w:r>
      <w:proofErr w:type="spellEnd"/>
      <w:r w:rsidRPr="009B1B5C">
        <w:t xml:space="preserve"> data"; melhora controles técnicos (tokenização, segmentação de rede, </w:t>
      </w:r>
      <w:proofErr w:type="spellStart"/>
      <w:r w:rsidRPr="009B1B5C">
        <w:t>logging</w:t>
      </w:r>
      <w:proofErr w:type="spellEnd"/>
      <w:r w:rsidRPr="009B1B5C">
        <w:t xml:space="preserve"> obrigatório).</w:t>
      </w:r>
    </w:p>
    <w:p w14:paraId="4719708B" w14:textId="77777777" w:rsidR="009B1B5C" w:rsidRPr="009B1B5C" w:rsidRDefault="009B1B5C" w:rsidP="009B1B5C">
      <w:r w:rsidRPr="009B1B5C">
        <w:pict w14:anchorId="5B72E918">
          <v:rect id="_x0000_i1107" style="width:0;height:1.5pt" o:hralign="center" o:hrstd="t" o:hr="t" fillcolor="#a0a0a0" stroked="f"/>
        </w:pict>
      </w:r>
    </w:p>
    <w:p w14:paraId="35FF5F63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4. Diferenças na abordagem de gestão de riscos</w:t>
      </w:r>
    </w:p>
    <w:p w14:paraId="20FB191B" w14:textId="77777777" w:rsidR="009B1B5C" w:rsidRPr="009B1B5C" w:rsidRDefault="009B1B5C" w:rsidP="009B1B5C">
      <w:pPr>
        <w:numPr>
          <w:ilvl w:val="0"/>
          <w:numId w:val="7"/>
        </w:numPr>
      </w:pPr>
      <w:r w:rsidRPr="009B1B5C">
        <w:rPr>
          <w:b/>
          <w:bCs/>
        </w:rPr>
        <w:t>ISO/IEC 27001 — Abordagem baseada em risco (</w:t>
      </w:r>
      <w:proofErr w:type="spellStart"/>
      <w:r w:rsidRPr="009B1B5C">
        <w:rPr>
          <w:b/>
          <w:bCs/>
        </w:rPr>
        <w:t>risk-based</w:t>
      </w:r>
      <w:proofErr w:type="spellEnd"/>
      <w:r w:rsidRPr="009B1B5C">
        <w:rPr>
          <w:b/>
          <w:bCs/>
        </w:rPr>
        <w:t>):</w:t>
      </w:r>
    </w:p>
    <w:p w14:paraId="5BFEE6DD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>Identificação e avaliação de riscos guiam quais controles são aplicados.</w:t>
      </w:r>
    </w:p>
    <w:p w14:paraId="5CEBA61E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 xml:space="preserve">Organização justifica a seleção de controles através do tratamento de risco </w:t>
      </w:r>
      <w:proofErr w:type="gramStart"/>
      <w:r w:rsidRPr="009B1B5C">
        <w:t xml:space="preserve">e </w:t>
      </w:r>
      <w:proofErr w:type="spellStart"/>
      <w:r w:rsidRPr="009B1B5C">
        <w:t>SoA</w:t>
      </w:r>
      <w:proofErr w:type="spellEnd"/>
      <w:proofErr w:type="gramEnd"/>
      <w:r w:rsidRPr="009B1B5C">
        <w:t>.</w:t>
      </w:r>
    </w:p>
    <w:p w14:paraId="5750B413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>Foco no processo (ISMS) e na melhoria contínua.</w:t>
      </w:r>
    </w:p>
    <w:p w14:paraId="4E191B50" w14:textId="77777777" w:rsidR="009B1B5C" w:rsidRPr="009B1B5C" w:rsidRDefault="009B1B5C" w:rsidP="009B1B5C">
      <w:pPr>
        <w:numPr>
          <w:ilvl w:val="0"/>
          <w:numId w:val="7"/>
        </w:numPr>
      </w:pPr>
      <w:r w:rsidRPr="009B1B5C">
        <w:rPr>
          <w:b/>
          <w:bCs/>
        </w:rPr>
        <w:t>PCI DSS — Abordagem prescritiva e objetivo-orientada:</w:t>
      </w:r>
    </w:p>
    <w:p w14:paraId="3439A0CF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>Conjunto de requisitos mínimos e controles técnicos que devem ser implementados para proteger dados de cartão.</w:t>
      </w:r>
    </w:p>
    <w:p w14:paraId="21DAE963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>Menos flexibilidade: muitos requisitos são mandatórios e auditados de forma direta.</w:t>
      </w:r>
    </w:p>
    <w:p w14:paraId="663839AE" w14:textId="77777777" w:rsidR="009B1B5C" w:rsidRPr="009B1B5C" w:rsidRDefault="009B1B5C" w:rsidP="009B1B5C">
      <w:pPr>
        <w:numPr>
          <w:ilvl w:val="1"/>
          <w:numId w:val="7"/>
        </w:numPr>
      </w:pPr>
      <w:r w:rsidRPr="009B1B5C">
        <w:t>PCI DSS 4.0 adicionou opções de abordagem baseada em objetivos, mas o requisito de proteção de dados de cartão permanece central.</w:t>
      </w:r>
    </w:p>
    <w:p w14:paraId="1609A354" w14:textId="77777777" w:rsidR="009B1B5C" w:rsidRPr="009B1B5C" w:rsidRDefault="009B1B5C" w:rsidP="009B1B5C">
      <w:r w:rsidRPr="009B1B5C">
        <w:pict w14:anchorId="626525A4">
          <v:rect id="_x0000_i1108" style="width:0;height:1.5pt" o:hralign="center" o:hrstd="t" o:hr="t" fillcolor="#a0a0a0" stroked="f"/>
        </w:pict>
      </w:r>
    </w:p>
    <w:p w14:paraId="0ACB7C33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5. Mapeamento prático (exemplo de reutilização entre frameworks)</w:t>
      </w:r>
    </w:p>
    <w:p w14:paraId="3B686A39" w14:textId="77777777" w:rsidR="009B1B5C" w:rsidRPr="009B1B5C" w:rsidRDefault="009B1B5C" w:rsidP="009B1B5C">
      <w:pPr>
        <w:numPr>
          <w:ilvl w:val="0"/>
          <w:numId w:val="8"/>
        </w:numPr>
      </w:pPr>
      <w:r w:rsidRPr="009B1B5C">
        <w:t xml:space="preserve">Muitos controles do PCI DSS mapeiam para controles do Anexo A da ISO 27001 (p.ex. controle de acesso, criptografia, monitoramento e </w:t>
      </w:r>
      <w:proofErr w:type="spellStart"/>
      <w:r w:rsidRPr="009B1B5C">
        <w:t>logging</w:t>
      </w:r>
      <w:proofErr w:type="spellEnd"/>
      <w:r w:rsidRPr="009B1B5C">
        <w:t>, gestão de vulnerabilidades).</w:t>
      </w:r>
    </w:p>
    <w:p w14:paraId="2FBFE14D" w14:textId="77777777" w:rsidR="009B1B5C" w:rsidRPr="009B1B5C" w:rsidRDefault="009B1B5C" w:rsidP="009B1B5C">
      <w:pPr>
        <w:numPr>
          <w:ilvl w:val="0"/>
          <w:numId w:val="8"/>
        </w:numPr>
      </w:pPr>
      <w:r w:rsidRPr="009B1B5C">
        <w:t>Organizações podem usar o ISMS (ISO 27001) como a estrutura central e documentar evidências específicas necessárias para o PCI DSS (por exemplo, segmentação de rede do CDE, políticas de retenção de dados de cartão, rotação de chaves).</w:t>
      </w:r>
    </w:p>
    <w:p w14:paraId="6F332395" w14:textId="77777777" w:rsidR="009B1B5C" w:rsidRPr="009B1B5C" w:rsidRDefault="009B1B5C" w:rsidP="009B1B5C">
      <w:r w:rsidRPr="009B1B5C">
        <w:pict w14:anchorId="5D62024E">
          <v:rect id="_x0000_i1109" style="width:0;height:1.5pt" o:hralign="center" o:hrstd="t" o:hr="t" fillcolor="#a0a0a0" stroked="f"/>
        </w:pict>
      </w:r>
    </w:p>
    <w:p w14:paraId="17E8F874" w14:textId="77777777" w:rsidR="009B1B5C" w:rsidRPr="009B1B5C" w:rsidRDefault="009B1B5C" w:rsidP="009B1B5C">
      <w:pPr>
        <w:rPr>
          <w:b/>
          <w:bCs/>
        </w:rPr>
      </w:pPr>
      <w:r w:rsidRPr="009B1B5C">
        <w:rPr>
          <w:b/>
          <w:bCs/>
        </w:rPr>
        <w:t>6. Roteiro de implementação sugerido (alto nível)</w:t>
      </w:r>
    </w:p>
    <w:p w14:paraId="5F902E37" w14:textId="77777777" w:rsidR="009B1B5C" w:rsidRPr="009B1B5C" w:rsidRDefault="009B1B5C" w:rsidP="009B1B5C">
      <w:r w:rsidRPr="009B1B5C">
        <w:rPr>
          <w:b/>
          <w:bCs/>
        </w:rPr>
        <w:lastRenderedPageBreak/>
        <w:t>Fase 0 — Preparação:</w:t>
      </w:r>
      <w:r w:rsidRPr="009B1B5C">
        <w:t xml:space="preserve"> escopo, governança, comprometimento executivo, inventário de ativos.</w:t>
      </w:r>
    </w:p>
    <w:p w14:paraId="3949D709" w14:textId="77777777" w:rsidR="009B1B5C" w:rsidRPr="009B1B5C" w:rsidRDefault="009B1B5C" w:rsidP="009B1B5C">
      <w:r w:rsidRPr="009B1B5C">
        <w:rPr>
          <w:b/>
          <w:bCs/>
        </w:rPr>
        <w:t>Fase 1 — Avaliação:</w:t>
      </w:r>
      <w:r w:rsidRPr="009B1B5C">
        <w:t xml:space="preserve"> avaliação gap contra ISO 27001 &amp; PCI DSS; identificação do </w:t>
      </w:r>
      <w:proofErr w:type="spellStart"/>
      <w:r w:rsidRPr="009B1B5C">
        <w:t>Cardholder</w:t>
      </w:r>
      <w:proofErr w:type="spellEnd"/>
      <w:r w:rsidRPr="009B1B5C">
        <w:t xml:space="preserve"> Data </w:t>
      </w:r>
      <w:proofErr w:type="spellStart"/>
      <w:r w:rsidRPr="009B1B5C">
        <w:t>Environment</w:t>
      </w:r>
      <w:proofErr w:type="spellEnd"/>
      <w:r w:rsidRPr="009B1B5C">
        <w:t xml:space="preserve"> (CDE).</w:t>
      </w:r>
    </w:p>
    <w:p w14:paraId="60CB530D" w14:textId="77777777" w:rsidR="009B1B5C" w:rsidRPr="009B1B5C" w:rsidRDefault="009B1B5C" w:rsidP="009B1B5C">
      <w:r w:rsidRPr="009B1B5C">
        <w:rPr>
          <w:b/>
          <w:bCs/>
        </w:rPr>
        <w:t>Fase 2 — Tratamento:</w:t>
      </w:r>
      <w:r w:rsidRPr="009B1B5C">
        <w:t xml:space="preserve"> seleção e implementação de controles; segmentação de rede; criptografia; políticas e treinamento.</w:t>
      </w:r>
    </w:p>
    <w:p w14:paraId="733E114E" w14:textId="77777777" w:rsidR="009B1B5C" w:rsidRPr="009B1B5C" w:rsidRDefault="009B1B5C" w:rsidP="009B1B5C">
      <w:r w:rsidRPr="009B1B5C">
        <w:rPr>
          <w:b/>
          <w:bCs/>
        </w:rPr>
        <w:t>Fase 3 — Evidência &amp; Testes:</w:t>
      </w:r>
      <w:r w:rsidRPr="009B1B5C">
        <w:t xml:space="preserve"> </w:t>
      </w:r>
      <w:proofErr w:type="spellStart"/>
      <w:r w:rsidRPr="009B1B5C">
        <w:t>pentest</w:t>
      </w:r>
      <w:proofErr w:type="spellEnd"/>
      <w:r w:rsidRPr="009B1B5C">
        <w:t>, varredura de vulnerabilidades, registros de logs, testes de backup e restauração.</w:t>
      </w:r>
    </w:p>
    <w:p w14:paraId="4FF0471B" w14:textId="5F69AA1A" w:rsidR="006B0E44" w:rsidRDefault="009B1B5C">
      <w:r w:rsidRPr="009B1B5C">
        <w:rPr>
          <w:b/>
          <w:bCs/>
        </w:rPr>
        <w:t>Fase 4 — Auditoria / Avaliação:</w:t>
      </w:r>
      <w:r w:rsidRPr="009B1B5C">
        <w:t xml:space="preserve"> auditoria ISO por certificador; QSA/SAQ para PCI DSS; correções e recertificação/vigilância.</w:t>
      </w:r>
    </w:p>
    <w:sectPr w:rsidR="006B0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FFA"/>
    <w:multiLevelType w:val="multilevel"/>
    <w:tmpl w:val="548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12F"/>
    <w:multiLevelType w:val="multilevel"/>
    <w:tmpl w:val="6B32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162CB"/>
    <w:multiLevelType w:val="multilevel"/>
    <w:tmpl w:val="C3C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1140"/>
    <w:multiLevelType w:val="multilevel"/>
    <w:tmpl w:val="14F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0C0D"/>
    <w:multiLevelType w:val="multilevel"/>
    <w:tmpl w:val="217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C45F5"/>
    <w:multiLevelType w:val="multilevel"/>
    <w:tmpl w:val="256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67B14"/>
    <w:multiLevelType w:val="multilevel"/>
    <w:tmpl w:val="DF9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0A05"/>
    <w:multiLevelType w:val="multilevel"/>
    <w:tmpl w:val="412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8768F"/>
    <w:multiLevelType w:val="multilevel"/>
    <w:tmpl w:val="4E1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51FD5"/>
    <w:multiLevelType w:val="multilevel"/>
    <w:tmpl w:val="EA0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94B6D"/>
    <w:multiLevelType w:val="multilevel"/>
    <w:tmpl w:val="9EF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B7F9F"/>
    <w:multiLevelType w:val="multilevel"/>
    <w:tmpl w:val="8B3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01A07"/>
    <w:multiLevelType w:val="multilevel"/>
    <w:tmpl w:val="719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283696">
    <w:abstractNumId w:val="12"/>
  </w:num>
  <w:num w:numId="2" w16cid:durableId="1323856517">
    <w:abstractNumId w:val="7"/>
  </w:num>
  <w:num w:numId="3" w16cid:durableId="151289844">
    <w:abstractNumId w:val="6"/>
  </w:num>
  <w:num w:numId="4" w16cid:durableId="1646083370">
    <w:abstractNumId w:val="0"/>
  </w:num>
  <w:num w:numId="5" w16cid:durableId="1052727943">
    <w:abstractNumId w:val="9"/>
  </w:num>
  <w:num w:numId="6" w16cid:durableId="1132482865">
    <w:abstractNumId w:val="8"/>
  </w:num>
  <w:num w:numId="7" w16cid:durableId="298465173">
    <w:abstractNumId w:val="2"/>
  </w:num>
  <w:num w:numId="8" w16cid:durableId="373694652">
    <w:abstractNumId w:val="4"/>
  </w:num>
  <w:num w:numId="9" w16cid:durableId="235628730">
    <w:abstractNumId w:val="1"/>
  </w:num>
  <w:num w:numId="10" w16cid:durableId="1808085418">
    <w:abstractNumId w:val="11"/>
  </w:num>
  <w:num w:numId="11" w16cid:durableId="494537627">
    <w:abstractNumId w:val="3"/>
  </w:num>
  <w:num w:numId="12" w16cid:durableId="1111558244">
    <w:abstractNumId w:val="10"/>
  </w:num>
  <w:num w:numId="13" w16cid:durableId="299965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5C"/>
    <w:rsid w:val="00191D08"/>
    <w:rsid w:val="0055022F"/>
    <w:rsid w:val="006B0E44"/>
    <w:rsid w:val="009B1B5C"/>
    <w:rsid w:val="00FB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585C"/>
  <w15:chartTrackingRefBased/>
  <w15:docId w15:val="{5EB15984-B6B0-4CFA-80E2-B65762FE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B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B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B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B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B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B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802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Barbosa</dc:creator>
  <cp:keywords/>
  <dc:description/>
  <cp:lastModifiedBy>Caio Barbosa</cp:lastModifiedBy>
  <cp:revision>1</cp:revision>
  <dcterms:created xsi:type="dcterms:W3CDTF">2025-10-15T11:43:00Z</dcterms:created>
  <dcterms:modified xsi:type="dcterms:W3CDTF">2025-10-15T12:00:00Z</dcterms:modified>
</cp:coreProperties>
</file>