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caps/>
          <w:color w:val="808080"/>
          <w:sz w:val="20"/>
          <w:szCs w:val="20"/>
        </w:rPr>
        <w:t xml:space="preserve">Resumen ejecutivo</w:t>
      </w:r>
    </w:p>
    <w:p>
      <w:pPr>
        <w:pStyle w:val="Heading1"/>
        <w:spacing w:after="200" w:before="100"/>
      </w:pPr>
      <w:r>
        <w:rPr>
          <w:rFonts w:ascii="Calibri" w:cs="Calibri" w:eastAsia="Calibri" w:hAnsi="Calibri"/>
          <w:b/>
          <w:bCs/>
          <w:color w:val="1F3864"/>
          <w:sz w:val="30"/>
          <w:szCs w:val="30"/>
        </w:rPr>
        <w:t xml:space="preserve">El debate sobre las lenguas cooficiales y la caída de puntuaciones PISA 2025</w:t>
      </w:r>
    </w:p>
    <w:p>
      <w:pPr>
        <w:spacing w:after="200" w:line="276"/>
      </w:pPr>
      <w:r>
        <w:rPr>
          <w:rFonts w:ascii="Calibri" w:cs="Calibri" w:eastAsia="Calibri" w:hAnsi="Calibri"/>
          <w:i/>
          <w:iCs/>
          <w:color w:val="595959"/>
          <w:sz w:val="20"/>
          <w:szCs w:val="20"/>
        </w:rPr>
        <w:t xml:space="preserve">Proyecto: papel de la lengua en PISA en los territorios bilingües de España (País Vasco, Cataluña, Galicia, Comunidad Valenciana, Illes Balears y Navarra). Ediciones analizadas: 2018, 2022 y 2025.</w:t>
      </w:r>
    </w:p>
    <w:p>
      <w:pPr>
        <w:pBdr>
          <w:bottom w:val="single" w:color="BFBFBF" w:sz="6" w:space="1"/>
        </w:pBdr>
        <w:spacing w:after="200"/>
      </w:pPr>
    </w:p>
    <w:p>
      <w:pPr>
        <w:pStyle w:val="Heading2"/>
        <w:spacing w:after="150" w:before="300"/>
      </w:pPr>
      <w:r>
        <w:rPr>
          <w:rFonts w:ascii="Calibri" w:cs="Calibri" w:eastAsia="Calibri" w:hAnsi="Calibri"/>
          <w:b/>
          <w:bCs/>
          <w:color w:val="2A5599"/>
          <w:sz w:val="25"/>
          <w:szCs w:val="25"/>
        </w:rPr>
        <w:t xml:space="preserve">La pregunta</w:t>
      </w:r>
    </w:p>
    <w:p>
      <w:pPr>
        <w:spacing w:after="200" w:line="276"/>
      </w:pPr>
      <w:r>
        <w:rPr>
          <w:rFonts w:ascii="Calibri" w:cs="Calibri" w:eastAsia="Calibri" w:hAnsi="Calibri"/>
          <w:sz w:val="22"/>
          <w:szCs w:val="22"/>
        </w:rPr>
        <w:t xml:space="preserve">En el debate público sobre los resultados de PISA 2025 en los territorios bilingües de España — de forma particularmente intensa en el País Vasco — se ha planteado que la caída de puntuaciones respondería al empleo de las lenguas cooficiales en la enseñanza, en particular cuando se impone a alumnado cuya lengua materna es el castellano. Este documento reúne lo que el análisis estadístico de las tres últimas ediciones de PISA en las seis comunidades autónomas con lengua cooficial permite decir al respecto, con sus alcances y sus límites.</w:t>
      </w:r>
    </w:p>
    <w:p>
      <w:pPr>
        <w:pStyle w:val="Heading2"/>
        <w:spacing w:after="150" w:before="300"/>
      </w:pPr>
      <w:r>
        <w:rPr>
          <w:rFonts w:ascii="Calibri" w:cs="Calibri" w:eastAsia="Calibri" w:hAnsi="Calibri"/>
          <w:b/>
          <w:bCs/>
          <w:color w:val="2A5599"/>
          <w:sz w:val="25"/>
          <w:szCs w:val="25"/>
        </w:rPr>
        <w:t xml:space="preserve">Qué muestran los datos</w:t>
      </w:r>
    </w:p>
    <w:p>
      <w:pPr>
        <w:spacing w:after="60" w:before="160"/>
      </w:pPr>
      <w:r>
        <w:rPr>
          <w:rFonts w:ascii="Calibri" w:cs="Calibri" w:eastAsia="Calibri" w:hAnsi="Calibri"/>
          <w:b/>
          <w:bCs/>
          <w:i/>
          <w:iCs/>
          <w:sz w:val="22"/>
          <w:szCs w:val="22"/>
        </w:rPr>
        <w:t xml:space="preserve">La penalización de 2025 no se concentra en los centros de lengua cooficial</w:t>
      </w:r>
    </w:p>
    <w:p>
      <w:pPr>
        <w:spacing w:after="200" w:line="276"/>
      </w:pPr>
      <w:r>
        <w:rPr>
          <w:rFonts w:ascii="Calibri" w:cs="Calibri" w:eastAsia="Calibri" w:hAnsi="Calibri"/>
          <w:sz w:val="22"/>
          <w:szCs w:val="22"/>
        </w:rPr>
        <w:t xml:space="preserve">El modelo estadístico ajustado (que combina nivel de estudiante, colegio y comunidad autónoma, y controla por origen migrante, nivel socioeconómico, educación de los padres y género) estima que, en 2025, la incongruencia lingüística — hacer el examen en un idioma distinto al de casa — penaliza de forma similar en los centros monolingües castellano (−13,4 puntos PISA; intervalo de confianza del 95%: −21,8 a −5,0) y en los centros monolingües en lengua cooficial (−11,8 puntos; intervalo: −20,1 a −3,4). Las dos estimaciones son estadísticamente indistinguibles entre sí, y las dos son negativas y significativas; el único tipo de centro sin penalización detectable es el mixto. Si el problema fuera específicamente el empleo forzado de la lengua cooficial frente al castellano, cabría esperar una penalización marcadamente mayor — o exclusiva — en los centros cooficiales, y eso no es lo que el modelo encuentra.</w:t>
      </w:r>
    </w:p>
    <w:p>
      <w:pPr>
        <w:spacing w:after="60" w:before="160"/>
      </w:pPr>
      <w:r>
        <w:rPr>
          <w:rFonts w:ascii="Calibri" w:cs="Calibri" w:eastAsia="Calibri" w:hAnsi="Calibri"/>
          <w:b/>
          <w:bCs/>
          <w:i/>
          <w:iCs/>
          <w:sz w:val="22"/>
          <w:szCs w:val="22"/>
        </w:rPr>
        <w:t xml:space="preserve">Dentro de los centros monolingües, el origen migrante concentra la mayor parte de la brecha, en los dos tipos de centro por igual</w:t>
      </w:r>
    </w:p>
    <w:p>
      <w:pPr>
        <w:spacing w:after="200" w:line="276"/>
      </w:pPr>
      <w:r>
        <w:rPr>
          <w:rFonts w:ascii="Calibri" w:cs="Calibri" w:eastAsia="Calibri" w:hAnsi="Calibri"/>
          <w:sz w:val="22"/>
          <w:szCs w:val="22"/>
        </w:rPr>
        <w:t xml:space="preserve">Separando al alumnado incongruente de los centros monolingües del País Vasco según su origen — nativo (su lengua de casa es la otra lengua oficial del territorio) o migrante (su lengua de casa es una lengua de inmigración, ni castellano ni euskera) —, la caída de puntuación del alumnado migrante (−74 puntos en monolingüe castellano, −79 en monolingüe cooficial) es entre dos y cuatro veces mayor que la del alumnado nativo incongruente (−20 y −35 puntos respectivamente). Dentro del propio grupo “incongruente”, el origen migrante concentra la mayor parte de la caída, en ambos tipos de centro casi por igual.</w:t>
      </w:r>
    </w:p>
    <w:p>
      <w:pPr>
        <w:spacing w:after="60" w:before="160"/>
      </w:pPr>
      <w:r>
        <w:rPr>
          <w:rFonts w:ascii="Calibri" w:cs="Calibri" w:eastAsia="Calibri" w:hAnsi="Calibri"/>
          <w:b/>
          <w:bCs/>
          <w:i/>
          <w:iCs/>
          <w:sz w:val="22"/>
          <w:szCs w:val="22"/>
        </w:rPr>
        <w:t xml:space="preserve">El caso concreto que señala el debate no muestra una penalización clara en Navarra</w:t>
      </w:r>
    </w:p>
    <w:p>
      <w:pPr>
        <w:spacing w:after="200" w:line="276"/>
      </w:pPr>
      <w:r>
        <w:rPr>
          <w:rFonts w:ascii="Calibri" w:cs="Calibri" w:eastAsia="Calibri" w:hAnsi="Calibri"/>
          <w:sz w:val="22"/>
          <w:szCs w:val="22"/>
        </w:rPr>
        <w:t xml:space="preserve">En los datos de Navarra, el alumnado con lengua de casa castellana escolarizado en un centro monolingüe cooficial obtiene una puntuación media prácticamente idéntica — ligeramente superior, de hecho — a la de sus compañeros congruentes del mismo tipo de centro (diferencia de +1,8 puntos, sin ajustar por otros factores). En el País Vasco esa misma comparación sí muestra una diferencia negativa (−35 puntos), pero de magnitud similar a la que se observa en sentido inverso — alumnado de casa vascófona en centros monolingües castellano, dentro de la misma comunidad (−20 puntos). El patrón no apunta de forma sistemática y exclusiva en la dirección que señala el debate.</w:t>
      </w:r>
    </w:p>
    <w:p>
      <w:pPr>
        <w:spacing w:after="60" w:before="160"/>
      </w:pPr>
      <w:r>
        <w:rPr>
          <w:rFonts w:ascii="Calibri" w:cs="Calibri" w:eastAsia="Calibri" w:hAnsi="Calibri"/>
          <w:b/>
          <w:bCs/>
          <w:i/>
          <w:iCs/>
          <w:sz w:val="22"/>
          <w:szCs w:val="22"/>
        </w:rPr>
        <w:t xml:space="preserve">El crecimiento del alumnado de origen migrante no se concentra en los centros de lengua cooficial</w:t>
      </w:r>
    </w:p>
    <w:p>
      <w:pPr>
        <w:spacing w:after="200" w:line="276"/>
      </w:pPr>
      <w:r>
        <w:rPr>
          <w:rFonts w:ascii="Calibri" w:cs="Calibri" w:eastAsia="Calibri" w:hAnsi="Calibri"/>
          <w:sz w:val="22"/>
          <w:szCs w:val="22"/>
        </w:rPr>
        <w:t xml:space="preserve">El porcentaje de alumnado de origen migrante en el conjunto de las seis comunidades ha pasado del 13,0% en 2018 al 23,2% en 2025. Ese crecimiento es, si acaso, más pronunciado en los centros monolingües castellano (del 13,0% al 25,9%) que en los monolingües cooficiales (del 13,2% al 22,4%). El cambio demográfico que coincide en el tiempo con la caída de puntuaciones pesa igual o más sobre los centros de lengua castellana.</w:t>
      </w:r>
    </w:p>
    <w:p>
      <w:pPr>
        <w:spacing w:after="60" w:before="160"/>
      </w:pPr>
      <w:r>
        <w:rPr>
          <w:rFonts w:ascii="Calibri" w:cs="Calibri" w:eastAsia="Calibri" w:hAnsi="Calibri"/>
          <w:b/>
          <w:bCs/>
          <w:i/>
          <w:iCs/>
          <w:sz w:val="22"/>
          <w:szCs w:val="22"/>
        </w:rPr>
        <w:t xml:space="preserve">Las puntuaciones brutas, sin ajustar, confirman el mismo patrón</w:t>
      </w:r>
    </w:p>
    <w:p>
      <w:pPr>
        <w:spacing w:after="200" w:line="276"/>
      </w:pPr>
      <w:r>
        <w:rPr>
          <w:rFonts w:ascii="Calibri" w:cs="Calibri" w:eastAsia="Calibri" w:hAnsi="Calibri"/>
          <w:sz w:val="22"/>
          <w:szCs w:val="22"/>
        </w:rPr>
        <w:t xml:space="preserve">En 2025 la brecha entre alumnado congruente e incongruente es de 37 puntos en los centros monolingües castellano y de 30 puntos en los monolingües cooficiales — mayor en los primeros, no en los segundos.</w:t>
      </w:r>
    </w:p>
    <w:p>
      <w:pPr>
        <w:spacing w:after="60" w:before="160"/>
      </w:pPr>
      <w:r>
        <w:rPr>
          <w:rFonts w:ascii="Calibri" w:cs="Calibri" w:eastAsia="Calibri" w:hAnsi="Calibri"/>
          <w:b/>
          <w:bCs/>
          <w:i/>
          <w:iCs/>
          <w:sz w:val="22"/>
          <w:szCs w:val="22"/>
        </w:rPr>
        <w:t xml:space="preserve">El tipo de centro explica una fracción menor de la desigualdad total que la composición del alumnado</w:t>
      </w:r>
    </w:p>
    <w:p>
      <w:pPr>
        <w:spacing w:after="200" w:line="276"/>
      </w:pPr>
      <w:r>
        <w:rPr>
          <w:rFonts w:ascii="Calibri" w:cs="Calibri" w:eastAsia="Calibri" w:hAnsi="Calibri"/>
          <w:sz w:val="22"/>
          <w:szCs w:val="22"/>
        </w:rPr>
        <w:t xml:space="preserve">Descomponiendo la varianza total de puntuaciones, la posición interseccional del alumnado (género, educación de los padres, nivel socioeconómico, origen migrante y congruencia lingüística combinados) explica entre el 19% y el 24% de la varianza según la edición; el colegio, entre el 14% y el 15%; la comunidad autónoma, entre el 1,4% y el 5,7%. La comunidad autónoma — y, dentro de ella, el modelo lingüístico predominante — es el nivel que menos peso tiene de los tres.</w:t>
      </w:r>
    </w:p>
    <w:p>
      <w:pPr>
        <w:spacing w:after="60" w:before="160"/>
      </w:pPr>
      <w:r>
        <w:rPr>
          <w:rFonts w:ascii="Calibri" w:cs="Calibri" w:eastAsia="Calibri" w:hAnsi="Calibri"/>
          <w:b/>
          <w:bCs/>
          <w:i/>
          <w:iCs/>
          <w:sz w:val="22"/>
          <w:szCs w:val="22"/>
        </w:rPr>
        <w:t xml:space="preserve">Dentro de cada tipo de centro hay una heterogeneidad muy grande, en ambas direcciones</w:t>
      </w:r>
    </w:p>
    <w:p>
      <w:pPr>
        <w:spacing w:after="200" w:line="276"/>
      </w:pPr>
      <w:r>
        <w:rPr>
          <w:rFonts w:ascii="Calibri" w:cs="Calibri" w:eastAsia="Calibri" w:hAnsi="Calibri"/>
          <w:sz w:val="22"/>
          <w:szCs w:val="22"/>
        </w:rPr>
        <w:t xml:space="preserve">Ajustando una pendiente propia por colegio para el efecto de la incongruencia lingüística, tanto los centros monolingües castellano como los cooficiales tienen números comparables de colegios que claramente amortiguan la incongruencia y de colegios que claramente la agravan (monolingüe castellano: 61 colegios con pendiente positiva significativa frente a 42 con pendiente negativa, sumando las tres ediciones; monolingüe cooficial: 125 frente a 128, prácticamente empatado). Ningún tipo de centro se comporta de forma monolítica: hay colegios de ambos modelos lingüísticos entre los que mejor amortiguan la incongruencia y entre los que peor lo hacen.</w:t>
      </w:r>
    </w:p>
    <w:p>
      <w:pPr>
        <w:pStyle w:val="Heading2"/>
        <w:spacing w:after="150" w:before="300"/>
      </w:pPr>
      <w:r>
        <w:rPr>
          <w:rFonts w:ascii="Calibri" w:cs="Calibri" w:eastAsia="Calibri" w:hAnsi="Calibri"/>
          <w:b/>
          <w:bCs/>
          <w:color w:val="2A5599"/>
          <w:sz w:val="25"/>
          <w:szCs w:val="25"/>
        </w:rPr>
        <w:t xml:space="preserve">En cifras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2800"/>
      </w:tblGrid>
      <w:tr>
        <w:trPr>
          <w:tblHeader/>
        </w:trPr>
        <w:tc>
          <w:tcPr>
            <w:tcW w:type="dxa" w:w="34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Comparación</w:t>
            </w:r>
          </w:p>
        </w:tc>
        <w:tc>
          <w:tcPr>
            <w:tcW w:type="dxa" w:w="28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Monolingüe castellano</w:t>
            </w:r>
          </w:p>
        </w:tc>
        <w:tc>
          <w:tcPr>
            <w:tcW w:type="dxa" w:w="28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Monolingüe cooficial</w:t>
            </w:r>
          </w:p>
        </w:tc>
      </w:tr>
      <w:tr>
        <w:trPr>
          <w:cantSplit/>
        </w:trPr>
        <w:tc>
          <w:tcPr>
            <w:tcW w:type="dxa" w:w="3400"/>
            <w:shd w:fill="F2F2F2" w:val="clear"/>
            <w:tcMar>
              <w:top w:type="dxa" w:w="70"/>
              <w:left w:type="dxa" w:w="100"/>
              <w:bottom w:type="dxa" w:w="70"/>
              <w:right w:type="dxa" w:w="100"/>
            </w:tcMar>
          </w:tcPr>
          <w:p>
            <w:r>
              <w:rPr>
                <w:rFonts w:ascii="Calibri" w:cs="Calibri" w:eastAsia="Calibri" w:hAnsi="Calibri"/>
                <w:sz w:val="20"/>
                <w:szCs w:val="20"/>
              </w:rPr>
              <w:t xml:space="preserve">Efecto total de la incongruencia, 2025 (modelo ajustado)</w:t>
            </w:r>
          </w:p>
        </w:tc>
        <w:tc>
          <w:tcPr>
            <w:tcW w:type="dxa" w:w="2800"/>
            <w:shd w:fill="F2F2F2" w:val="clear"/>
            <w:tcMar>
              <w:top w:type="dxa" w:w="70"/>
              <w:left w:type="dxa" w:w="100"/>
              <w:bottom w:type="dxa" w:w="70"/>
              <w:right w:type="dxa" w:w="100"/>
            </w:tcMar>
          </w:tcPr>
          <w:p>
            <w:r>
              <w:rPr>
                <w:rFonts w:ascii="Calibri" w:cs="Calibri" w:eastAsia="Calibri" w:hAnsi="Calibri"/>
                <w:sz w:val="20"/>
                <w:szCs w:val="20"/>
              </w:rPr>
              <w:t xml:space="preserve">−13,4 pts (IC95%: −21,8 a −5,0)</w:t>
            </w:r>
          </w:p>
        </w:tc>
        <w:tc>
          <w:tcPr>
            <w:tcW w:type="dxa" w:w="2800"/>
            <w:shd w:fill="F2F2F2" w:val="clear"/>
            <w:tcMar>
              <w:top w:type="dxa" w:w="70"/>
              <w:left w:type="dxa" w:w="100"/>
              <w:bottom w:type="dxa" w:w="70"/>
              <w:right w:type="dxa" w:w="100"/>
            </w:tcMar>
          </w:tcPr>
          <w:p>
            <w:r>
              <w:rPr>
                <w:rFonts w:ascii="Calibri" w:cs="Calibri" w:eastAsia="Calibri" w:hAnsi="Calibri"/>
                <w:sz w:val="20"/>
                <w:szCs w:val="20"/>
              </w:rPr>
              <w:t xml:space="preserve">−11,8 pts (IC95%: −20,1 a −3,4)</w:t>
            </w:r>
          </w:p>
        </w:tc>
      </w:tr>
      <w:tr>
        <w:trPr>
          <w:cantSplit/>
        </w:trPr>
        <w:tc>
          <w:tcPr>
            <w:tcW w:type="dxa" w:w="3400"/>
            <w:shd w:fill="FFFFFF" w:val="clear"/>
            <w:tcMar>
              <w:top w:type="dxa" w:w="70"/>
              <w:left w:type="dxa" w:w="100"/>
              <w:bottom w:type="dxa" w:w="70"/>
              <w:right w:type="dxa" w:w="100"/>
            </w:tcMar>
          </w:tcPr>
          <w:p>
            <w:r>
              <w:rPr>
                <w:rFonts w:ascii="Calibri" w:cs="Calibri" w:eastAsia="Calibri" w:hAnsi="Calibri"/>
                <w:sz w:val="20"/>
                <w:szCs w:val="20"/>
              </w:rPr>
              <w:t xml:space="preserve">Caída del alumnado incongruente migrante vs. congruente, País Vasco (bruto)</w:t>
            </w:r>
          </w:p>
        </w:tc>
        <w:tc>
          <w:tcPr>
            <w:tcW w:type="dxa" w:w="2800"/>
            <w:shd w:fill="FFFFFF" w:val="clear"/>
            <w:tcMar>
              <w:top w:type="dxa" w:w="70"/>
              <w:left w:type="dxa" w:w="100"/>
              <w:bottom w:type="dxa" w:w="70"/>
              <w:right w:type="dxa" w:w="100"/>
            </w:tcMar>
          </w:tcPr>
          <w:p>
            <w:r>
              <w:rPr>
                <w:rFonts w:ascii="Calibri" w:cs="Calibri" w:eastAsia="Calibri" w:hAnsi="Calibri"/>
                <w:sz w:val="20"/>
                <w:szCs w:val="20"/>
              </w:rPr>
              <w:t xml:space="preserve">−74 pts</w:t>
            </w:r>
          </w:p>
        </w:tc>
        <w:tc>
          <w:tcPr>
            <w:tcW w:type="dxa" w:w="2800"/>
            <w:shd w:fill="FFFFFF" w:val="clear"/>
            <w:tcMar>
              <w:top w:type="dxa" w:w="70"/>
              <w:left w:type="dxa" w:w="100"/>
              <w:bottom w:type="dxa" w:w="70"/>
              <w:right w:type="dxa" w:w="100"/>
            </w:tcMar>
          </w:tcPr>
          <w:p>
            <w:r>
              <w:rPr>
                <w:rFonts w:ascii="Calibri" w:cs="Calibri" w:eastAsia="Calibri" w:hAnsi="Calibri"/>
                <w:sz w:val="20"/>
                <w:szCs w:val="20"/>
              </w:rPr>
              <w:t xml:space="preserve">−79 pts</w:t>
            </w:r>
          </w:p>
        </w:tc>
      </w:tr>
      <w:tr>
        <w:trPr>
          <w:cantSplit/>
        </w:trPr>
        <w:tc>
          <w:tcPr>
            <w:tcW w:type="dxa" w:w="3400"/>
            <w:shd w:fill="F2F2F2" w:val="clear"/>
            <w:tcMar>
              <w:top w:type="dxa" w:w="70"/>
              <w:left w:type="dxa" w:w="100"/>
              <w:bottom w:type="dxa" w:w="70"/>
              <w:right w:type="dxa" w:w="100"/>
            </w:tcMar>
          </w:tcPr>
          <w:p>
            <w:r>
              <w:rPr>
                <w:rFonts w:ascii="Calibri" w:cs="Calibri" w:eastAsia="Calibri" w:hAnsi="Calibri"/>
                <w:sz w:val="20"/>
                <w:szCs w:val="20"/>
              </w:rPr>
              <w:t xml:space="preserve">Caída del alumnado incongruente no migrante vs. congruente, País Vasco (bruto)</w:t>
            </w:r>
          </w:p>
        </w:tc>
        <w:tc>
          <w:tcPr>
            <w:tcW w:type="dxa" w:w="2800"/>
            <w:shd w:fill="F2F2F2" w:val="clear"/>
            <w:tcMar>
              <w:top w:type="dxa" w:w="70"/>
              <w:left w:type="dxa" w:w="100"/>
              <w:bottom w:type="dxa" w:w="70"/>
              <w:right w:type="dxa" w:w="100"/>
            </w:tcMar>
          </w:tcPr>
          <w:p>
            <w:r>
              <w:rPr>
                <w:rFonts w:ascii="Calibri" w:cs="Calibri" w:eastAsia="Calibri" w:hAnsi="Calibri"/>
                <w:sz w:val="20"/>
                <w:szCs w:val="20"/>
              </w:rPr>
              <w:t xml:space="preserve">−20 pts</w:t>
            </w:r>
          </w:p>
        </w:tc>
        <w:tc>
          <w:tcPr>
            <w:tcW w:type="dxa" w:w="2800"/>
            <w:shd w:fill="F2F2F2" w:val="clear"/>
            <w:tcMar>
              <w:top w:type="dxa" w:w="70"/>
              <w:left w:type="dxa" w:w="100"/>
              <w:bottom w:type="dxa" w:w="70"/>
              <w:right w:type="dxa" w:w="100"/>
            </w:tcMar>
          </w:tcPr>
          <w:p>
            <w:r>
              <w:rPr>
                <w:rFonts w:ascii="Calibri" w:cs="Calibri" w:eastAsia="Calibri" w:hAnsi="Calibri"/>
                <w:sz w:val="20"/>
                <w:szCs w:val="20"/>
              </w:rPr>
              <w:t xml:space="preserve">−35 pts</w:t>
            </w:r>
          </w:p>
        </w:tc>
      </w:tr>
      <w:tr>
        <w:trPr>
          <w:cantSplit/>
        </w:trPr>
        <w:tc>
          <w:tcPr>
            <w:tcW w:type="dxa" w:w="3400"/>
            <w:shd w:fill="FFFFFF" w:val="clear"/>
            <w:tcMar>
              <w:top w:type="dxa" w:w="70"/>
              <w:left w:type="dxa" w:w="100"/>
              <w:bottom w:type="dxa" w:w="70"/>
              <w:right w:type="dxa" w:w="100"/>
            </w:tcMar>
          </w:tcPr>
          <w:p>
            <w:r>
              <w:rPr>
                <w:rFonts w:ascii="Calibri" w:cs="Calibri" w:eastAsia="Calibri" w:hAnsi="Calibri"/>
                <w:sz w:val="20"/>
                <w:szCs w:val="20"/>
              </w:rPr>
              <w:t xml:space="preserve">Caída del alumnado incongruente no migrante vs. congruente, Navarra (bruto)</w:t>
            </w:r>
          </w:p>
        </w:tc>
        <w:tc>
          <w:tcPr>
            <w:tcW w:type="dxa" w:w="2800"/>
            <w:shd w:fill="FFFFFF" w:val="clear"/>
            <w:tcMar>
              <w:top w:type="dxa" w:w="70"/>
              <w:left w:type="dxa" w:w="100"/>
              <w:bottom w:type="dxa" w:w="70"/>
              <w:right w:type="dxa" w:w="100"/>
            </w:tcMar>
          </w:tcPr>
          <w:p>
            <w:r>
              <w:rPr>
                <w:rFonts w:ascii="Calibri" w:cs="Calibri" w:eastAsia="Calibri" w:hAnsi="Calibri"/>
                <w:sz w:val="20"/>
                <w:szCs w:val="20"/>
              </w:rPr>
              <w:t xml:space="preserve">−26 pts</w:t>
            </w:r>
          </w:p>
        </w:tc>
        <w:tc>
          <w:tcPr>
            <w:tcW w:type="dxa" w:w="2800"/>
            <w:shd w:fill="FFFFFF" w:val="clear"/>
            <w:tcMar>
              <w:top w:type="dxa" w:w="70"/>
              <w:left w:type="dxa" w:w="100"/>
              <w:bottom w:type="dxa" w:w="70"/>
              <w:right w:type="dxa" w:w="100"/>
            </w:tcMar>
          </w:tcPr>
          <w:p>
            <w:r>
              <w:rPr>
                <w:rFonts w:ascii="Calibri" w:cs="Calibri" w:eastAsia="Calibri" w:hAnsi="Calibri"/>
                <w:sz w:val="20"/>
                <w:szCs w:val="20"/>
              </w:rPr>
              <w:t xml:space="preserve">+2 pts (n.s.)</w:t>
            </w:r>
          </w:p>
        </w:tc>
      </w:tr>
      <w:tr>
        <w:trPr>
          <w:cantSplit/>
        </w:trPr>
        <w:tc>
          <w:tcPr>
            <w:tcW w:type="dxa" w:w="3400"/>
            <w:shd w:fill="F2F2F2" w:val="clear"/>
            <w:tcMar>
              <w:top w:type="dxa" w:w="70"/>
              <w:left w:type="dxa" w:w="100"/>
              <w:bottom w:type="dxa" w:w="70"/>
              <w:right w:type="dxa" w:w="100"/>
            </w:tcMar>
          </w:tcPr>
          <w:p>
            <w:r>
              <w:rPr>
                <w:rFonts w:ascii="Calibri" w:cs="Calibri" w:eastAsia="Calibri" w:hAnsi="Calibri"/>
                <w:sz w:val="20"/>
                <w:szCs w:val="20"/>
              </w:rPr>
              <w:t xml:space="preserve">% alumnado de origen migrante, 2018 → 2025</w:t>
            </w:r>
          </w:p>
        </w:tc>
        <w:tc>
          <w:tcPr>
            <w:tcW w:type="dxa" w:w="2800"/>
            <w:shd w:fill="F2F2F2" w:val="clear"/>
            <w:tcMar>
              <w:top w:type="dxa" w:w="70"/>
              <w:left w:type="dxa" w:w="100"/>
              <w:bottom w:type="dxa" w:w="70"/>
              <w:right w:type="dxa" w:w="100"/>
            </w:tcMar>
          </w:tcPr>
          <w:p>
            <w:r>
              <w:rPr>
                <w:rFonts w:ascii="Calibri" w:cs="Calibri" w:eastAsia="Calibri" w:hAnsi="Calibri"/>
                <w:sz w:val="20"/>
                <w:szCs w:val="20"/>
              </w:rPr>
              <w:t xml:space="preserve">13,0% → 25,9%</w:t>
            </w:r>
          </w:p>
        </w:tc>
        <w:tc>
          <w:tcPr>
            <w:tcW w:type="dxa" w:w="2800"/>
            <w:shd w:fill="F2F2F2" w:val="clear"/>
            <w:tcMar>
              <w:top w:type="dxa" w:w="70"/>
              <w:left w:type="dxa" w:w="100"/>
              <w:bottom w:type="dxa" w:w="70"/>
              <w:right w:type="dxa" w:w="100"/>
            </w:tcMar>
          </w:tcPr>
          <w:p>
            <w:r>
              <w:rPr>
                <w:rFonts w:ascii="Calibri" w:cs="Calibri" w:eastAsia="Calibri" w:hAnsi="Calibri"/>
                <w:sz w:val="20"/>
                <w:szCs w:val="20"/>
              </w:rPr>
              <w:t xml:space="preserve">13,2% → 22,4%</w:t>
            </w:r>
          </w:p>
        </w:tc>
      </w:tr>
      <w:tr>
        <w:trPr>
          <w:cantSplit/>
        </w:trPr>
        <w:tc>
          <w:tcPr>
            <w:tcW w:type="dxa" w:w="3400"/>
            <w:shd w:fill="FFFFFF" w:val="clear"/>
            <w:tcMar>
              <w:top w:type="dxa" w:w="70"/>
              <w:left w:type="dxa" w:w="100"/>
              <w:bottom w:type="dxa" w:w="70"/>
              <w:right w:type="dxa" w:w="100"/>
            </w:tcMar>
          </w:tcPr>
          <w:p>
            <w:r>
              <w:rPr>
                <w:rFonts w:ascii="Calibri" w:cs="Calibri" w:eastAsia="Calibri" w:hAnsi="Calibri"/>
                <w:sz w:val="20"/>
                <w:szCs w:val="20"/>
              </w:rPr>
              <w:t xml:space="preserve">Brecha congruente/incongruente, 2025 (bruto)</w:t>
            </w:r>
          </w:p>
        </w:tc>
        <w:tc>
          <w:tcPr>
            <w:tcW w:type="dxa" w:w="2800"/>
            <w:shd w:fill="FFFFFF" w:val="clear"/>
            <w:tcMar>
              <w:top w:type="dxa" w:w="70"/>
              <w:left w:type="dxa" w:w="100"/>
              <w:bottom w:type="dxa" w:w="70"/>
              <w:right w:type="dxa" w:w="100"/>
            </w:tcMar>
          </w:tcPr>
          <w:p>
            <w:r>
              <w:rPr>
                <w:rFonts w:ascii="Calibri" w:cs="Calibri" w:eastAsia="Calibri" w:hAnsi="Calibri"/>
                <w:sz w:val="20"/>
                <w:szCs w:val="20"/>
              </w:rPr>
              <w:t xml:space="preserve">−37 pts</w:t>
            </w:r>
          </w:p>
        </w:tc>
        <w:tc>
          <w:tcPr>
            <w:tcW w:type="dxa" w:w="2800"/>
            <w:shd w:fill="FFFFFF" w:val="clear"/>
            <w:tcMar>
              <w:top w:type="dxa" w:w="70"/>
              <w:left w:type="dxa" w:w="100"/>
              <w:bottom w:type="dxa" w:w="70"/>
              <w:right w:type="dxa" w:w="100"/>
            </w:tcMar>
          </w:tcPr>
          <w:p>
            <w:r>
              <w:rPr>
                <w:rFonts w:ascii="Calibri" w:cs="Calibri" w:eastAsia="Calibri" w:hAnsi="Calibri"/>
                <w:sz w:val="20"/>
                <w:szCs w:val="20"/>
              </w:rPr>
              <w:t xml:space="preserve">−30 pts</w:t>
            </w:r>
          </w:p>
        </w:tc>
      </w:tr>
      <w:tr>
        <w:trPr>
          <w:cantSplit/>
        </w:trPr>
        <w:tc>
          <w:tcPr>
            <w:tcW w:type="dxa" w:w="3400"/>
            <w:shd w:fill="F2F2F2" w:val="clear"/>
            <w:tcMar>
              <w:top w:type="dxa" w:w="70"/>
              <w:left w:type="dxa" w:w="100"/>
              <w:bottom w:type="dxa" w:w="70"/>
              <w:right w:type="dxa" w:w="100"/>
            </w:tcMar>
          </w:tcPr>
          <w:p>
            <w:r>
              <w:rPr>
                <w:rFonts w:ascii="Calibri" w:cs="Calibri" w:eastAsia="Calibri" w:hAnsi="Calibri"/>
                <w:sz w:val="20"/>
                <w:szCs w:val="20"/>
              </w:rPr>
              <w:t xml:space="preserve">Colegios con pendiente propia significativa (3 ediciones): positiva / negativa</w:t>
            </w:r>
          </w:p>
        </w:tc>
        <w:tc>
          <w:tcPr>
            <w:tcW w:type="dxa" w:w="2800"/>
            <w:shd w:fill="F2F2F2" w:val="clear"/>
            <w:tcMar>
              <w:top w:type="dxa" w:w="70"/>
              <w:left w:type="dxa" w:w="100"/>
              <w:bottom w:type="dxa" w:w="70"/>
              <w:right w:type="dxa" w:w="100"/>
            </w:tcMar>
          </w:tcPr>
          <w:p>
            <w:r>
              <w:rPr>
                <w:rFonts w:ascii="Calibri" w:cs="Calibri" w:eastAsia="Calibri" w:hAnsi="Calibri"/>
                <w:sz w:val="20"/>
                <w:szCs w:val="20"/>
              </w:rPr>
              <w:t xml:space="preserve">61 / 42</w:t>
            </w:r>
          </w:p>
        </w:tc>
        <w:tc>
          <w:tcPr>
            <w:tcW w:type="dxa" w:w="2800"/>
            <w:shd w:fill="F2F2F2" w:val="clear"/>
            <w:tcMar>
              <w:top w:type="dxa" w:w="70"/>
              <w:left w:type="dxa" w:w="100"/>
              <w:bottom w:type="dxa" w:w="70"/>
              <w:right w:type="dxa" w:w="100"/>
            </w:tcMar>
          </w:tcPr>
          <w:p>
            <w:r>
              <w:rPr>
                <w:rFonts w:ascii="Calibri" w:cs="Calibri" w:eastAsia="Calibri" w:hAnsi="Calibri"/>
                <w:sz w:val="20"/>
                <w:szCs w:val="20"/>
              </w:rPr>
              <w:t xml:space="preserve">125 / 128</w:t>
            </w:r>
          </w:p>
        </w:tc>
      </w:tr>
    </w:tbl>
    <w:p>
      <w:pPr>
        <w:spacing w:after="200" w:line="276"/>
      </w:pPr>
      <w:r>
        <w:rPr>
          <w:rFonts w:ascii="Calibri" w:cs="Calibri" w:eastAsia="Calibri" w:hAnsi="Calibri"/>
          <w:sz w:val="22"/>
          <w:szCs w:val="22"/>
        </w:rPr>
        <w:t xml:space="preserve"/>
      </w:r>
    </w:p>
    <w:p>
      <w:pPr>
        <w:pStyle w:val="Heading2"/>
        <w:spacing w:after="150" w:before="300"/>
      </w:pPr>
      <w:r>
        <w:rPr>
          <w:rFonts w:ascii="Calibri" w:cs="Calibri" w:eastAsia="Calibri" w:hAnsi="Calibri"/>
          <w:b/>
          <w:bCs/>
          <w:color w:val="2A5599"/>
          <w:sz w:val="25"/>
          <w:szCs w:val="25"/>
        </w:rPr>
        <w:t xml:space="preserve">Límites del análisis</w:t>
      </w:r>
    </w:p>
    <w:p>
      <w:pPr>
        <w:spacing w:after="200" w:line="276"/>
      </w:pPr>
      <w:r>
        <w:rPr>
          <w:rFonts w:ascii="Calibri" w:cs="Calibri" w:eastAsia="Calibri" w:hAnsi="Calibri"/>
          <w:sz w:val="22"/>
          <w:szCs w:val="22"/>
        </w:rPr>
        <w:t xml:space="preserve">Estos resultados son correlacionales, no causales: PISA es un diseño transversal (tres fotografías independientes, no un seguimiento de los mismos alumnos ni de los mismos colegios) y no permite aislar el efecto de una política lingüística concreta de otros factores que cambian a la vez — composición migrante, qué colegios entran en la muestra cada edición, cambios socioeconómicos generales.</w:t>
      </w:r>
    </w:p>
    <w:p>
      <w:pPr>
        <w:spacing w:after="200" w:line="276"/>
      </w:pPr>
      <w:r>
        <w:rPr>
          <w:rFonts w:ascii="Calibri" w:cs="Calibri" w:eastAsia="Calibri" w:hAnsi="Calibri"/>
          <w:sz w:val="22"/>
          <w:szCs w:val="22"/>
        </w:rPr>
        <w:t xml:space="preserve">La incorporación de Navarra al modelo estadístico ajustado (el modelo multinivel bayesiano que produce las cifras de la primera sección) está pendiente en el momento de escribir este resumen: esas cifras corresponden todavía a la muestra de cinco comunidades autónomas, sin Navarra. Los datos descriptivos de Navarra, en cambio, ya están incorporados y se citan donde corresponde. El peso de Navarra en la muestra conjunta es moderado (en torno al 15% del alumnado analizado), por lo que no se espera que su incorporación cambie la imagen general aquí descrita, pero las cifras exactas del modelo se actualizarán cuando se reajuste.</w:t>
      </w:r>
    </w:p>
    <w:p>
      <w:pPr>
        <w:pStyle w:val="Heading2"/>
        <w:spacing w:after="150" w:before="300"/>
      </w:pPr>
      <w:r>
        <w:rPr>
          <w:rFonts w:ascii="Calibri" w:cs="Calibri" w:eastAsia="Calibri" w:hAnsi="Calibri"/>
          <w:b/>
          <w:bCs/>
          <w:color w:val="2A5599"/>
          <w:sz w:val="25"/>
          <w:szCs w:val="25"/>
        </w:rPr>
        <w:t xml:space="preserve">Síntesis</w:t>
      </w:r>
    </w:p>
    <w:p>
      <w:pPr>
        <w:spacing w:after="200" w:line="276"/>
      </w:pPr>
      <w:r>
        <w:rPr>
          <w:rFonts w:ascii="Calibri" w:cs="Calibri" w:eastAsia="Calibri" w:hAnsi="Calibri"/>
          <w:sz w:val="22"/>
          <w:szCs w:val="22"/>
        </w:rPr>
        <w:t xml:space="preserve">El conjunto de la evidencia disponible no es coherente con una explicación que sitúe el origen de la caída de puntuaciones de 2025 específicamente en la imposición de las lenguas cooficiales frente al castellano. La penalización de la incongruencia lingüística aparece, en magnitud similar, en los dos tipos de centro monolingüe; el factor que más se asocia a la caída es el origen migrante del alumnado incongruente, no el tipo de lengua vehicular; y dentro de cada modelo lingüístico hay una heterogeneidad de colegios demasiado grande para sostener un relato único sobre “el” modelo cooficial o “el” modelo castellano.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2026-09-22T20:42:16.405Z</dcterms:created>
  <dcterms:modified xsi:type="dcterms:W3CDTF">2026-09-22T20:42:16.405Z</dcterms:modified>
</cp:coreProperties>
</file>

<file path=docProps/custom.xml><?xml version="1.0" encoding="utf-8"?>
<Properties xmlns="http://schemas.openxmlformats.org/officeDocument/2006/custom-properties" xmlns:vt="http://schemas.openxmlformats.org/officeDocument/2006/docPropsVTypes"/>
</file>