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Highlights</w:t>
      </w:r>
    </w:p>
    <w:p>
      <w:pPr>
        <w:pStyle w:val="ListBullet"/>
        <w:spacing w:line="480" w:lineRule="auto" w:after="120"/>
      </w:pPr>
      <w:r>
        <w:rPr>
          <w:rFonts w:ascii="Times New Roman" w:hAnsi="Times New Roman" w:eastAsia="Times New Roman"/>
          <w:sz w:val="24"/>
        </w:rPr>
        <w:t>700 simulations reach benchmark-level accuracy using no geographic metadata</w:t>
      </w:r>
    </w:p>
    <w:p>
      <w:pPr>
        <w:pStyle w:val="ListBullet"/>
        <w:spacing w:line="480" w:lineRule="auto" w:after="120"/>
      </w:pPr>
      <w:r>
        <w:rPr>
          <w:rFonts w:ascii="Times New Roman" w:hAnsi="Times New Roman" w:eastAsia="Times New Roman"/>
          <w:sz w:val="24"/>
        </w:rPr>
        <w:t>12D Latin Hypercube Sampling yields operational diversity over stock-model scale</w:t>
      </w:r>
    </w:p>
    <w:p>
      <w:pPr>
        <w:pStyle w:val="ListBullet"/>
        <w:spacing w:line="480" w:lineRule="auto" w:after="120"/>
      </w:pPr>
      <w:r>
        <w:rPr>
          <w:rFonts w:ascii="Times New Roman" w:hAnsi="Times New Roman" w:eastAsia="Times New Roman"/>
          <w:sz w:val="24"/>
        </w:rPr>
        <w:t>RevIN helps 700-building models but degrades BB-900K retraining</w:t>
      </w:r>
    </w:p>
    <w:p>
      <w:pPr>
        <w:pStyle w:val="ListBullet"/>
        <w:spacing w:line="480" w:lineRule="auto" w:after="120"/>
      </w:pPr>
      <w:r>
        <w:rPr>
          <w:rFonts w:ascii="Times New Roman" w:hAnsi="Times New Roman" w:eastAsia="Times New Roman"/>
          <w:sz w:val="24"/>
        </w:rPr>
        <w:t>Korean-weather training transfers zero-shot to U.S./Portuguese real buildings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