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64cda2f792497c7ff91792d0bdc6bcf3828ab8a"/>
    <w:p>
      <w:pPr>
        <w:pStyle w:val="Heading1"/>
        <w:keepNext/>
        <w:spacing w:line="480" w:lineRule="auto" w:after="60" w:before="120"/>
      </w:pPr>
      <w:r>
        <w:rPr>
          <w:rFonts w:ascii="Times New Roman" w:hAnsi="Times New Roman" w:eastAsia="Times New Roman"/>
          <w:b/>
          <w:i w:val="0"/>
          <w:sz w:val="28"/>
        </w:rPr>
        <w:t xml:space="preserve">Seven Hundred Simulations Suffice: Operational Diversity for Data-Efficient Zero-Shot Building Load Forecasting</w:t>
      </w:r>
    </w:p>
    <w:p>
      <w:pPr>
        <w:pStyle w:val="FirstParagraph"/>
        <w:spacing w:line="480" w:lineRule="auto" w:after="0" w:before="0"/>
      </w:pPr>
      <w:r>
        <w:rPr>
          <w:rFonts w:ascii="Times New Roman" w:hAnsi="Times New Roman" w:eastAsia="Times New Roman"/>
          <w:sz w:val="24"/>
        </w:rPr>
        <w:t xml:space="preserve">Jeong-Uk Kim</w:t>
      </w:r>
    </w:p>
    <w:p>
      <w:pPr>
        <w:pStyle w:val="BodyText"/>
        <w:spacing w:line="480" w:lineRule="auto" w:after="0" w:before="0"/>
      </w:pPr>
      <w:r>
        <w:rPr>
          <w:rFonts w:ascii="Times New Roman" w:hAnsi="Times New Roman" w:eastAsia="Times New Roman"/>
          <w:sz w:val="24"/>
        </w:rPr>
        <w:t xml:space="preserve">Department of Electrical Engineering, Sangmyung University, Seoul 03016, South Korea</w:t>
      </w:r>
    </w:p>
    <w:p>
      <w:pPr>
        <w:pStyle w:val="BodyText"/>
        <w:spacing w:line="480" w:lineRule="auto" w:after="0" w:before="0"/>
      </w:pPr>
      <w:r>
        <w:rPr>
          <w:rFonts w:ascii="Times New Roman" w:hAnsi="Times New Roman" w:eastAsia="Times New Roman"/>
          <w:sz w:val="24"/>
        </w:rPr>
        <w:t xml:space="preserve">ORCID: 0000-0001-9576-8757</w:t>
      </w:r>
    </w:p>
    <w:p>
      <w:pPr>
        <w:pStyle w:val="BodyText"/>
        <w:spacing w:line="480" w:lineRule="auto" w:after="0" w:before="0"/>
      </w:pPr>
      <w:r>
        <w:rPr>
          <w:rFonts w:ascii="Times New Roman" w:hAnsi="Times New Roman" w:eastAsia="Times New Roman"/>
          <w:sz w:val="24"/>
        </w:rPr>
        <w:t xml:space="preserve">E-mail: jukim@smu.ac.kr</w:t>
      </w:r>
    </w:p>
    <w:p>
      <w:pPr>
        <w:spacing w:line="240" w:lineRule="auto" w:after="0" w:before="0"/>
      </w:pPr>
    </w:p>
    <w:p>
      <w:pPr>
        <w:spacing w:line="240" w:lineRule="auto" w:after="120" w:before="120"/>
      </w:pPr>
      <w:r>
        <w:rPr>
          <w:rFonts w:ascii="Times New Roman" w:hAnsi="Times New Roman" w:eastAsia="Times New Roman"/>
          <w:i/>
          <w:sz w:val="24"/>
        </w:rPr>
        <w:t>Corresponding author: Jeong-Uk Kim (jukim@smu.ac.kr)</w:t>
      </w:r>
    </w:p>
    <w:p>
      <w:pPr>
        <w:spacing w:line="480" w:lineRule="auto" w:after="0" w:before="0"/>
      </w:pPr>
      <w:r>
        <w:rPr>
          <w:rFonts w:ascii="Times New Roman" w:hAnsi="Times New Roman" w:eastAsia="Times New Roman"/>
          <w:sz w:val="24"/>
        </w:rPr>
        <w:pict>
          <v:rect style="width:0;height:1.5pt" o:hralign="center" o:hrstd="t" o:hr="t"/>
        </w:pict>
      </w:r>
    </w:p>
    <w:bookmarkStart w:id="9" w:name="abstract"/>
    <w:p>
      <w:pPr>
        <w:pStyle w:val="Heading2"/>
        <w:keepNext/>
        <w:spacing w:line="480" w:lineRule="auto" w:after="60" w:before="120"/>
      </w:pPr>
      <w:r>
        <w:rPr>
          <w:rFonts w:ascii="Times New Roman" w:hAnsi="Times New Roman" w:eastAsia="Times New Roman"/>
          <w:b/>
          <w:i w:val="0"/>
          <w:sz w:val="26"/>
        </w:rPr>
        <w:t xml:space="preserve">Abstract</w:t>
      </w:r>
    </w:p>
    <w:p>
      <w:pPr>
        <w:pStyle w:val="FirstParagraph"/>
        <w:spacing w:line="480" w:lineRule="auto" w:after="0" w:before="0"/>
      </w:pPr>
      <w:r>
        <w:rPr>
          <w:rFonts w:ascii="Times New Roman" w:hAnsi="Times New Roman" w:eastAsia="Times New Roman"/>
          <w:sz w:val="24"/>
        </w:rPr>
        <w:t xml:space="preserve">Zero-shot building load forecasting—predicting energy consumption for unseen buildings without retraining—is essential for grid balancing and demand response, yet current approaches assume that large-scale synthetic corpora are required. We show that carefully designed operational diversity, rather than corpus scale alone, is sufficient for high-accuracy zero-shot forecasting. A Transformer trained on only 700 Korean-weather EnergyPlus simulations—fifty per archetype across 14 building types—with operational schedules sampled via 12-dimensional Latin Hypercube Sampling (LHS), Reversible Instance Normalization (RevIN), and no geographic features reaches BuildingsBench-level performance on 955 real U.S. commercial buildings and Portuguese electricity consumers, achieving 13.11 ± 0.17% NRMSE (five-seed mean), numerically below the reproduced 900,000-building baseline of 13.27%. Controlled experiments at matched scale consistently favor the LHS-designed corpus over matched BuildingsBench-700 (BB-700) controls, supporting operational diversity as a primary driver beyond RevIN or augmentation alone. Applying RevIN to the full 900K corpus degrades performance in a single-run comparison, suggesting that RevIN’s benefit is regime-dependent rather than universal. N-scaling saturates rapidly: 70 buildings already reach the benchmark level. A U.S.-weather ablation remains competitive and still outperforms the matched BB-700 control, indicating that the conclusion is not solely a Korean-weather artifact while revealing residual weather sensitivity.</w:t>
      </w:r>
    </w:p>
    <w:p>
      <w:pPr>
        <w:pStyle w:val="BodyText"/>
        <w:spacing w:line="480" w:lineRule="auto" w:after="0" w:before="0"/>
      </w:pPr>
      <w:r>
        <w:rPr>
          <w:rFonts w:ascii="Times New Roman" w:hAnsi="Times New Roman" w:eastAsia="Times New Roman"/>
          <w:b/>
          <w:bCs/>
          <w:sz w:val="24"/>
        </w:rPr>
        <w:t xml:space="preserve">Keywords</w:t>
      </w:r>
      <w:r>
        <w:rPr>
          <w:rFonts w:ascii="Times New Roman" w:hAnsi="Times New Roman" w:eastAsia="Times New Roman"/>
          <w:sz w:val="24"/>
        </w:rPr>
        <w:t xml:space="preserve">: building energy forecasting, zero-shot learning, foundation models, parametric simulation, data-centric AI, reversible instance normalization</w:t>
      </w:r>
    </w:p>
    <w:p>
      <w:pPr>
        <w:spacing w:line="480" w:lineRule="auto" w:after="0" w:before="0"/>
      </w:pPr>
      <w:r>
        <w:rPr>
          <w:rFonts w:ascii="Times New Roman" w:hAnsi="Times New Roman" w:eastAsia="Times New Roman"/>
          <w:sz w:val="24"/>
        </w:rPr>
        <w:pict>
          <v:rect style="width:0;height:1.5pt" o:hralign="center" o:hrstd="t" o:hr="t"/>
        </w:pict>
      </w:r>
    </w:p>
    <w:bookmarkEnd w:id="9"/>
    <w:bookmarkStart w:id="10" w:name="introduction"/>
    <w:p>
      <w:pPr>
        <w:pStyle w:val="Heading2"/>
        <w:keepNext/>
        <w:spacing w:line="480" w:lineRule="auto" w:after="60" w:before="120"/>
      </w:pPr>
      <w:r>
        <w:rPr>
          <w:rFonts w:ascii="Times New Roman" w:hAnsi="Times New Roman" w:eastAsia="Times New Roman"/>
          <w:b/>
          <w:i w:val="0"/>
          <w:sz w:val="26"/>
        </w:rPr>
        <w:t xml:space="preserve">1. Introduction</w:t>
      </w:r>
    </w:p>
    <w:p>
      <w:pPr>
        <w:pStyle w:val="FirstParagraph"/>
        <w:spacing w:line="480" w:lineRule="auto" w:after="0" w:before="0"/>
      </w:pPr>
      <w:r>
        <w:rPr>
          <w:rFonts w:ascii="Times New Roman" w:hAnsi="Times New Roman" w:eastAsia="Times New Roman"/>
          <w:sz w:val="24"/>
        </w:rPr>
        <w:t xml:space="preserve">Short-term load forecasting underpins grid balancing, demand response, and real-time building energy management [1, 2]. The classical approach trains a separate model for each building, which works well when historical data are available but is inapplicable to newly instrumented buildings or those with limited historical data. Foundation models for time series—trained once and transferred across unseen targets—offer an alternative: learn general temporal patterns from large corpora and predict unseen buildings without fine-tuning.</w:t>
      </w:r>
    </w:p>
    <w:p>
      <w:pPr>
        <w:pStyle w:val="BodyText"/>
        <w:spacing w:line="480" w:lineRule="auto" w:after="0" w:before="0"/>
      </w:pPr>
      <w:r>
        <w:rPr>
          <w:rFonts w:ascii="Times New Roman" w:hAnsi="Times New Roman" w:eastAsia="Times New Roman"/>
          <w:sz w:val="24"/>
        </w:rPr>
        <w:t xml:space="preserve">BuildingsBench [3] operationalized this idea for the building energy domain. By assembling Buildings-900K, a synthetic corpus of roughly 900,000 residential and commercial buildings drawn from the NREL End-Use Load Profiles database [4], and training an encoder-decoder Transformer with Gaussian negative log-likelihood loss, the authors achieved 13.28% median NRMSE on 955 unseen real load series from U.S. commercial buildings and Portuguese electricity consumers (which we reproduce at 13.27%). The result established a benchmark and suggested that synthetic corpus scale is central to generalization.</w:t>
      </w:r>
    </w:p>
    <w:p>
      <w:pPr>
        <w:pStyle w:val="BodyText"/>
        <w:spacing w:line="480" w:lineRule="auto" w:after="0" w:before="0"/>
      </w:pPr>
      <w:r>
        <w:rPr>
          <w:rFonts w:ascii="Times New Roman" w:hAnsi="Times New Roman" w:eastAsia="Times New Roman"/>
          <w:sz w:val="24"/>
        </w:rPr>
        <w:t xml:space="preserve">Recent work in the broader time series community has begun to challenge this framing. Shi et al. [5] showed that scaling laws for time series forecasting diverge from those in language modeling, finding that more capable models do not always outperform less capable ones, and that performance depends not only on model and data scale but also on the look-back horizon, which interacts with autocorrelation, periodicity, and non-stationarity in the data. MOIRAI-MoE [6] demonstrated a sparse mixture-of-experts architecture with automatic token-level specialization, achieving superior zero-shot performance without increasing model or data scale. These findings suggest that brute-force scaling may not be sufficient for generalization. The data-centric AI community [7] offers a further angle: rather than collecting more data from the same distribution, designing better data may be more productive.</w:t>
      </w:r>
    </w:p>
    <w:p>
      <w:pPr>
        <w:pStyle w:val="BodyText"/>
        <w:spacing w:line="480" w:lineRule="auto" w:after="0" w:before="0"/>
      </w:pPr>
      <w:r>
        <w:rPr>
          <w:rFonts w:ascii="Times New Roman" w:hAnsi="Times New Roman" w:eastAsia="Times New Roman"/>
          <w:sz w:val="24"/>
        </w:rPr>
        <w:t xml:space="preserve">We test this hypothesis directly in the building load forecasting setting. Our starting observation is that Buildings-900K, despite its size, draws from a single national stock-model generation pipeline—the NREL End-Use Load Profiles for the U.S. building stock. Importantly, this is a single-country, single-pipeline corpus: all 900,000 buildings are U.S. simulations. Adding more buildings from the same generation pipeline increases volume but not necessarily the diversity of temporal patterns a model encounters. An alternative is to construct a small training set with maximal operational diversity by design.</w:t>
      </w:r>
    </w:p>
    <w:p>
      <w:pPr>
        <w:pStyle w:val="BodyText"/>
        <w:spacing w:line="480" w:lineRule="auto" w:after="0" w:before="0"/>
      </w:pPr>
      <w:r>
        <w:rPr>
          <w:rFonts w:ascii="Times New Roman" w:hAnsi="Times New Roman" w:eastAsia="Times New Roman"/>
          <w:sz w:val="24"/>
        </w:rPr>
        <w:t xml:space="preserve">We generate 700 EnergyPlus simulations (50 per archetype across 14 building types) with operational schedules sampled via 12-dimensional Latin Hypercube Sampling. The 12 parameters—covering operating hours, baseload levels, weekend patterns, ramp characteristics, equipment retention, and seasonal variation—are designed to span a broad space of plausible commercial building operations, beyond what a random stock-model sample of comparable size is likely to cover. Combined with Reversible Instance Normalization (RevIN) [8], which absorbs building-specific load magnitude and variability at inference time, this small but diverse training set achieves 13.11 ± 0.17% median NRMSE across five seeds on the BuildingsBench evaluation protocol, with the best seed reaching 12.93%. The model uses no geographic features (latitude and longitude are set to zero).</w:t>
      </w:r>
    </w:p>
    <w:p>
      <w:pPr>
        <w:pStyle w:val="BodyText"/>
        <w:spacing w:line="480" w:lineRule="auto" w:after="0" w:before="0"/>
      </w:pPr>
      <w:r>
        <w:rPr>
          <w:rFonts w:ascii="Times New Roman" w:hAnsi="Times New Roman" w:eastAsia="Times New Roman"/>
          <w:sz w:val="24"/>
        </w:rPr>
        <w:t xml:space="preserve">Controlled experiments on matched 700-building subsets—one from our parametric simulations, one from BuildingsBench—show that the improvement cannot be attributed to RevIN alone and is strongly linked to data design. Applying RevIN to the full 900K BuildingsBench corpus worsens performance, an asymmetry suggesting that RevIN is beneficial in small-data regimes but not universally helpful at scale. The n-scaling curve shows that 70 buildings already reach the benchmark level. A U.S.-weather/LHS ablation—retraining on the same 700 LHS schedules with U.S. TMY weather—still outperforms the matched BB-700 control, indicating that the conclusion is not solely a Korean-weather artifact while revealing residual weather sensitivity.</w:t>
      </w:r>
    </w:p>
    <w:p>
      <w:pPr>
        <w:pStyle w:val="BodyText"/>
        <w:spacing w:line="480" w:lineRule="auto" w:after="0" w:before="0"/>
      </w:pPr>
      <w:r>
        <w:rPr>
          <w:rFonts w:ascii="Times New Roman" w:hAnsi="Times New Roman" w:eastAsia="Times New Roman"/>
          <w:sz w:val="24"/>
        </w:rPr>
        <w:t xml:space="preserve">The comparison is not free of confounds: our simulations differ from BuildingsBench in building-code assumptions and augmentation strategy, factors that controlled experiments partially address but cannot fully disentangle. A five-seed U.S.-TMY/LHS ablation substantially reduces the climate-origin component of the confound (Section 4.2). Remaining limitations are discussed in Section 5.</w:t>
      </w:r>
    </w:p>
    <w:p>
      <w:pPr>
        <w:pStyle w:val="BodyText"/>
        <w:spacing w:line="480" w:lineRule="auto" w:after="0" w:before="0"/>
      </w:pPr>
      <w:r>
        <w:rPr>
          <w:rFonts w:ascii="Times New Roman" w:hAnsi="Times New Roman" w:eastAsia="Times New Roman"/>
          <w:sz w:val="24"/>
        </w:rPr>
        <w:t xml:space="preserve">This paper makes four contributions:</w:t>
      </w:r>
    </w:p>
    <w:p>
      <w:pPr>
        <w:numPr>
          <w:ilvl w:val="0"/>
          <w:numId w:val="1001"/>
        </w:numPr>
        <w:spacing w:line="480" w:lineRule="auto" w:after="0" w:before="0"/>
      </w:pPr>
      <w:r>
        <w:rPr>
          <w:rFonts w:ascii="Times New Roman" w:hAnsi="Times New Roman" w:eastAsia="Times New Roman"/>
          <w:b/>
          <w:bCs/>
          <w:sz w:val="24"/>
        </w:rPr>
        <w:t xml:space="preserve">Data sufficiency through design.</w:t>
      </w:r>
      <w:r>
        <w:rPr>
          <w:rFonts w:ascii="Times New Roman" w:hAnsi="Times New Roman" w:eastAsia="Times New Roman"/>
          <w:sz w:val="24"/>
        </w:rPr>
        <w:t xml:space="preserve"> </w:t>
      </w:r>
      <w:r>
        <w:rPr>
          <w:rFonts w:ascii="Times New Roman" w:hAnsi="Times New Roman" w:eastAsia="Times New Roman"/>
          <w:sz w:val="24"/>
        </w:rPr>
        <w:t xml:space="preserve">700 LHS-designed simulations are sufficient for benchmark-level zero-shot accuracy on 955 real load series, achieving 13.11 ± 0.17% NRMSE with only 0.08% of the training buildings used by the 900K BuildingsBench baseline (13.27%).</w:t>
      </w:r>
    </w:p>
    <w:p>
      <w:pPr>
        <w:numPr>
          <w:ilvl w:val="0"/>
          <w:numId w:val="1001"/>
        </w:numPr>
        <w:spacing w:line="480" w:lineRule="auto" w:after="0" w:before="0"/>
      </w:pPr>
      <w:r>
        <w:rPr>
          <w:rFonts w:ascii="Times New Roman" w:hAnsi="Times New Roman" w:eastAsia="Times New Roman"/>
          <w:b/>
          <w:bCs/>
          <w:sz w:val="24"/>
        </w:rPr>
        <w:t xml:space="preserve">Metadata-free zero-shot transfer.</w:t>
      </w:r>
      <w:r>
        <w:rPr>
          <w:rFonts w:ascii="Times New Roman" w:hAnsi="Times New Roman" w:eastAsia="Times New Roman"/>
          <w:sz w:val="24"/>
        </w:rPr>
        <w:t xml:space="preserve"> </w:t>
      </w:r>
      <w:r>
        <w:rPr>
          <w:rFonts w:ascii="Times New Roman" w:hAnsi="Times New Roman" w:eastAsia="Times New Roman"/>
          <w:sz w:val="24"/>
        </w:rPr>
        <w:t xml:space="preserve">The model uses no latitude, longitude, building type, HVAC metadata, or target-building fine-tuning. Unlike BuildingsBench, which provides latitude and longitude embeddings, all Korean-700 results set geographic coordinates to zero—and an ablation with actual Korean training coordinates shows no benefit when evaluation coordinates are unavailable (Table 5).</w:t>
      </w:r>
    </w:p>
    <w:p>
      <w:pPr>
        <w:numPr>
          <w:ilvl w:val="0"/>
          <w:numId w:val="1001"/>
        </w:numPr>
        <w:spacing w:line="480" w:lineRule="auto" w:after="0" w:before="0"/>
      </w:pPr>
      <w:r>
        <w:rPr>
          <w:rFonts w:ascii="Times New Roman" w:hAnsi="Times New Roman" w:eastAsia="Times New Roman"/>
          <w:b/>
          <w:bCs/>
          <w:sz w:val="24"/>
        </w:rPr>
        <w:t xml:space="preserve">Cross-climate generalization.</w:t>
      </w:r>
      <w:r>
        <w:rPr>
          <w:rFonts w:ascii="Times New Roman" w:hAnsi="Times New Roman" w:eastAsia="Times New Roman"/>
          <w:sz w:val="24"/>
        </w:rPr>
        <w:t xml:space="preserve"> </w:t>
      </w:r>
      <w:r>
        <w:rPr>
          <w:rFonts w:ascii="Times New Roman" w:hAnsi="Times New Roman" w:eastAsia="Times New Roman"/>
          <w:sz w:val="24"/>
        </w:rPr>
        <w:t xml:space="preserve">Korean-weather simulations transfer to U.S. and Portuguese real load series. A U.S.-TMY ablation using the same 700 LHS schedules retains an advantage over the matched BB-700 control (13.64% vs. 14.26%), indicating that the gain is not merely a Korean-weather artifact.</w:t>
      </w:r>
    </w:p>
    <w:p>
      <w:pPr>
        <w:numPr>
          <w:ilvl w:val="0"/>
          <w:numId w:val="1001"/>
        </w:numPr>
        <w:spacing w:line="480" w:lineRule="auto" w:after="0" w:before="0"/>
      </w:pPr>
      <w:r>
        <w:rPr>
          <w:rFonts w:ascii="Times New Roman" w:hAnsi="Times New Roman" w:eastAsia="Times New Roman"/>
          <w:b/>
          <w:bCs/>
          <w:sz w:val="24"/>
        </w:rPr>
        <w:t xml:space="preserve">Mechanistic evidence for operational diversity.</w:t>
      </w:r>
      <w:r>
        <w:rPr>
          <w:rFonts w:ascii="Times New Roman" w:hAnsi="Times New Roman" w:eastAsia="Times New Roman"/>
          <w:sz w:val="24"/>
        </w:rPr>
        <w:t xml:space="preserve"> </w:t>
      </w:r>
      <w:r>
        <w:rPr>
          <w:rFonts w:ascii="Times New Roman" w:hAnsi="Times New Roman" w:eastAsia="Times New Roman"/>
          <w:sz w:val="24"/>
        </w:rPr>
        <w:t xml:space="preserve">Equal-scale BB-700 controls with matched augmentation show a persistent 1.15 pp data-source gap. N-scaling saturates at 70–140 buildings, consistent with learning governed by the number of distinct temporal patterns rather than the number of examples.</w:t>
      </w:r>
    </w:p>
    <w:p>
      <w:pPr>
        <w:spacing w:line="480" w:lineRule="auto" w:after="0" w:before="0"/>
      </w:pPr>
      <w:r>
        <w:rPr>
          <w:rFonts w:ascii="Times New Roman" w:hAnsi="Times New Roman" w:eastAsia="Times New Roman"/>
          <w:sz w:val="24"/>
        </w:rPr>
        <w:pict>
          <v:rect style="width:0;height:1.5pt" o:hralign="center" o:hrstd="t" o:hr="t"/>
        </w:pict>
      </w:r>
    </w:p>
    <w:bookmarkEnd w:id="10"/>
    <w:bookmarkStart w:id="15" w:name="related-work"/>
    <w:p>
      <w:pPr>
        <w:pStyle w:val="Heading2"/>
        <w:keepNext/>
        <w:spacing w:line="480" w:lineRule="auto" w:after="60" w:before="120"/>
      </w:pPr>
      <w:r>
        <w:rPr>
          <w:rFonts w:ascii="Times New Roman" w:hAnsi="Times New Roman" w:eastAsia="Times New Roman"/>
          <w:b/>
          <w:i w:val="0"/>
          <w:sz w:val="26"/>
        </w:rPr>
        <w:t xml:space="preserve">2. Related Work</w:t>
      </w:r>
    </w:p>
    <w:bookmarkStart w:id="11" w:name="building-energy-forecasting"/>
    <w:p>
      <w:pPr>
        <w:pStyle w:val="Heading3"/>
        <w:keepNext/>
        <w:spacing w:line="480" w:lineRule="auto" w:after="60" w:before="120"/>
      </w:pPr>
      <w:r>
        <w:rPr>
          <w:rFonts w:ascii="Times New Roman" w:hAnsi="Times New Roman" w:eastAsia="Times New Roman"/>
          <w:b/>
          <w:i w:val="0"/>
          <w:sz w:val="24"/>
        </w:rPr>
        <w:t xml:space="preserve">2.1 Building Energy Forecasting</w:t>
      </w:r>
    </w:p>
    <w:p>
      <w:pPr>
        <w:pStyle w:val="FirstParagraph"/>
        <w:spacing w:line="480" w:lineRule="auto" w:after="0" w:before="0"/>
      </w:pPr>
      <w:r>
        <w:rPr>
          <w:rFonts w:ascii="Times New Roman" w:hAnsi="Times New Roman" w:eastAsia="Times New Roman"/>
          <w:sz w:val="24"/>
        </w:rPr>
        <w:t xml:space="preserve">Prior methods ranging from statistical models [9] to gradient boosting [10], recurrent networks [11], and Transformers [12, 13] improved per-building accuracy but remained building-specific. Transfer learning through domain adaptation [14] and fine-tuning [15] relaxes this constraint but still requires target-domain data. Our work eliminates the need for target-building fine-tuning through zero-shot inference.</w:t>
      </w:r>
    </w:p>
    <w:bookmarkEnd w:id="11"/>
    <w:bookmarkStart w:id="12" w:name="Xa94fe9db3aec9de2cbbe5b917fc9923e1915976"/>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2.2 BuildingsBench and Zero-Shot Load Forecasting</w:t>
      </w:r>
    </w:p>
    <w:p>
      <w:pPr>
        <w:pStyle w:val="FirstParagraph"/>
        <w:spacing w:line="480" w:lineRule="auto" w:after="0" w:before="0"/>
      </w:pPr>
      <w:r>
        <w:rPr>
          <w:rFonts w:ascii="Times New Roman" w:hAnsi="Times New Roman" w:eastAsia="Times New Roman"/>
          <w:sz w:val="24"/>
        </w:rPr>
        <w:t xml:space="preserve">BuildingsBench [3] framed building load forecasting as a zero-shot generalization problem. The training corpus, Buildings-900K, comprises approximately 350,000 commercial (ComStock) and 550,000 residential (ResStock) synthetic buildings with hourly electricity consumption generated by the NREL EULP pipeline [4]. The model—an encoder-decoder Transformer predicting 24-hour Gaussian distributions from 168-hour context—trains for a fraction of one epoch (approximately 0.067 epochs by our calculation, equivalent to roughly 2–3 sampled training windows per building on average) using a fitted global Box-Cox normalization (λ = −0.067, as measured from the provided checkpoint). The reported benchmark result is 13.28% median NRMSE on commercial buildings. Our work keeps the model architecture and evaluation protocol fixed while changing the training data and normalization strategy.</w:t>
      </w:r>
    </w:p>
    <w:p>
      <w:pPr>
        <w:pStyle w:val="BodyText"/>
        <w:spacing w:line="480" w:lineRule="auto" w:after="0" w:before="0"/>
      </w:pPr>
      <w:r>
        <w:rPr>
          <w:rFonts w:ascii="Times New Roman" w:hAnsi="Times New Roman" w:eastAsia="Times New Roman"/>
          <w:sz w:val="24"/>
        </w:rPr>
        <w:t xml:space="preserve">The sub-epoch training regime is consequential. BuildingsBench found that training for less than one full pass over the data produced the best generalization to real buildings; additional training degraded OOD evaluation performance. The authors interpreted this as evidence that the model memorizes synthetic patterns faster than it learns transferable representations, making training duration as consequential as data volume.</w:t>
      </w:r>
    </w:p>
    <w:bookmarkEnd w:id="12"/>
    <w:bookmarkStart w:id="13" w:name="X1b94c7cada1dd1ff92977c8ece8cd3245b858c4"/>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2.3 Scaling Laws and Their Limits in Time Series</w:t>
      </w:r>
    </w:p>
    <w:p>
      <w:pPr>
        <w:pStyle w:val="FirstParagraph"/>
        <w:spacing w:line="480" w:lineRule="auto" w:after="0" w:before="0"/>
      </w:pPr>
      <w:r>
        <w:rPr>
          <w:rFonts w:ascii="Times New Roman" w:hAnsi="Times New Roman" w:eastAsia="Times New Roman"/>
          <w:sz w:val="24"/>
        </w:rPr>
        <w:t xml:space="preserve">The proliferation of general-purpose time series foundation models—TimesFM [16], Chronos [17], Lag-Llama [18], MOIRAI [19]—has established that large-scale pretraining enables zero-shot forecasting across domains. These models train on millions to billions of time series from heterogeneous sources. Shi et al. [5] investigated whether the power-law scaling observed in language models transfers to time series and found that it does not: more capable models do not always outperform less capable ones, and the look-back horizon plays a distinct role in time series, interacting with autocorrelation, periodicity, and non-stationarity in ways not captured by standard language-model scaling theory. Yao et al. [20] found that model architecture significantly influences scaling efficiency, with encoder-only Transformers showing slightly better parameter scalability and in-distribution performance than decoder-only alternatives. Most relevant to our work, MOIRAI-MoE [6] showed that a mixture-of-experts architecture can outperform its monolithic predecessor through token-level specialization rather than increased model or data scale. The relationship between data volume and generalization in time series is more complex than in language modeling, where additional tokens more directly expand the combinatorial coverage of linguistic contexts.</w:t>
      </w:r>
    </w:p>
    <w:bookmarkEnd w:id="13"/>
    <w:bookmarkStart w:id="14" w:name="X67c993ef3aa0f9ad1ccd62e2305174feb663095"/>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2.4 Data-Centric AI and Reversible Instance Normalization</w:t>
      </w:r>
    </w:p>
    <w:p>
      <w:pPr>
        <w:pStyle w:val="FirstParagraph"/>
        <w:spacing w:line="480" w:lineRule="auto" w:after="0" w:before="0"/>
      </w:pPr>
      <w:r>
        <w:rPr>
          <w:rFonts w:ascii="Times New Roman" w:hAnsi="Times New Roman" w:eastAsia="Times New Roman"/>
          <w:sz w:val="24"/>
        </w:rPr>
        <w:t xml:space="preserve">The data-centric AI perspective [7] holds that improving data quality is often more productive than improving model architecture. Our 12-dimensional LHS design applies this principle to the energy domain: rather than sampling from a fixed distribution, we construct a training set that fills the space of plausible operations.</w:t>
      </w:r>
    </w:p>
    <w:p>
      <w:pPr>
        <w:pStyle w:val="BodyText"/>
        <w:spacing w:line="480" w:lineRule="auto" w:after="0" w:before="0"/>
      </w:pPr>
      <w:r>
        <w:rPr>
          <w:rFonts w:ascii="Times New Roman" w:hAnsi="Times New Roman" w:eastAsia="Times New Roman"/>
          <w:sz w:val="24"/>
        </w:rPr>
        <w:t xml:space="preserve">RevIN [8] complements this approach by normalizing instance-level load magnitude and variability before the encoder and restoring the scale after prediction, allowing the model to focus on temporal shape. Its interaction with dataset scale is examined in Section 4.</w:t>
      </w:r>
    </w:p>
    <w:p>
      <w:pPr>
        <w:spacing w:line="480" w:lineRule="auto" w:after="0" w:before="0"/>
      </w:pPr>
      <w:r>
        <w:rPr>
          <w:rFonts w:ascii="Times New Roman" w:hAnsi="Times New Roman" w:eastAsia="Times New Roman"/>
          <w:sz w:val="24"/>
        </w:rPr>
        <w:pict>
          <v:rect style="width:0;height:1.5pt" o:hralign="center" o:hrstd="t" o:hr="t"/>
        </w:pict>
      </w:r>
    </w:p>
    <w:bookmarkEnd w:id="14"/>
    <w:bookmarkEnd w:id="15"/>
    <w:bookmarkStart w:id="20" w:name="method"/>
    <w:p>
      <w:pPr>
        <w:pStyle w:val="Heading2"/>
        <w:keepNext/>
        <w:spacing w:line="480" w:lineRule="auto" w:after="60" w:before="120"/>
      </w:pPr>
      <w:r>
        <w:rPr>
          <w:rFonts w:ascii="Times New Roman" w:hAnsi="Times New Roman" w:eastAsia="Times New Roman"/>
          <w:b/>
          <w:i w:val="0"/>
          <w:sz w:val="26"/>
        </w:rPr>
        <w:t xml:space="preserve">3. Method</w:t>
      </w:r>
    </w:p>
    <w:bookmarkStart w:id="16" w:name="parametric-building-simulation"/>
    <w:p>
      <w:pPr>
        <w:pStyle w:val="Heading3"/>
        <w:keepNext/>
        <w:spacing w:line="480" w:lineRule="auto" w:after="60" w:before="120"/>
      </w:pPr>
      <w:r>
        <w:rPr>
          <w:rFonts w:ascii="Times New Roman" w:hAnsi="Times New Roman" w:eastAsia="Times New Roman"/>
          <w:b/>
          <w:i w:val="0"/>
          <w:sz w:val="24"/>
        </w:rPr>
        <w:t xml:space="preserve">3.1 Parametric Building Simulation</w:t>
      </w:r>
    </w:p>
    <w:p>
      <w:pPr>
        <w:pStyle w:val="FirstParagraph"/>
        <w:spacing w:line="480" w:lineRule="auto" w:after="0" w:before="0"/>
      </w:pPr>
      <w:r>
        <w:rPr>
          <w:rFonts w:ascii="Times New Roman" w:hAnsi="Times New Roman" w:eastAsia="Times New Roman"/>
          <w:sz w:val="24"/>
        </w:rPr>
        <w:t xml:space="preserve">Training data are generated through EnergyPlus [21] simulation of Korean commercial buildings with parametrically varied operational schedules.</w:t>
      </w:r>
    </w:p>
    <w:p>
      <w:pPr>
        <w:pStyle w:val="BodyText"/>
        <w:spacing w:line="480" w:lineRule="auto" w:after="0" w:before="0"/>
      </w:pPr>
      <w:r>
        <w:rPr>
          <w:rFonts w:ascii="Times New Roman" w:hAnsi="Times New Roman" w:eastAsia="Times New Roman"/>
          <w:b/>
          <w:bCs/>
          <w:sz w:val="24"/>
        </w:rPr>
        <w:t xml:space="preserve">Building archetypes.</w:t>
      </w:r>
      <w:r>
        <w:rPr>
          <w:rFonts w:ascii="Times New Roman" w:hAnsi="Times New Roman" w:eastAsia="Times New Roman"/>
          <w:sz w:val="24"/>
        </w:rPr>
        <w:t xml:space="preserve"> </w:t>
      </w:r>
      <w:r>
        <w:rPr>
          <w:rFonts w:ascii="Times New Roman" w:hAnsi="Times New Roman" w:eastAsia="Times New Roman"/>
          <w:sz w:val="24"/>
        </w:rPr>
        <w:t xml:space="preserve">We use 14 building archetypes based on DOE commercial reference building models [22] and adapted to Korean building codes and climate zones: office, retail, school, hotel, hospital, apartment (midrise and highrise), small office, large office, warehouse, strip mall, restaurant (full-service and quick-service), and university. The apartment (highrise) and university archetypes extend the standard DOE set following PNNL prototype conventions; the remaining 12 map directly to DOE reference types. Each archetype begins from a DOE reference model with Korean-code-compliant envelope thermal properties, HVAC system sizing, and internal load densities.</w:t>
      </w:r>
    </w:p>
    <w:p>
      <w:pPr>
        <w:pStyle w:val="BodyText"/>
        <w:spacing w:line="480" w:lineRule="auto" w:after="0" w:before="0"/>
      </w:pPr>
      <w:r>
        <w:rPr>
          <w:rFonts w:ascii="Times New Roman" w:hAnsi="Times New Roman" w:eastAsia="Times New Roman"/>
          <w:b/>
          <w:bCs/>
          <w:sz w:val="24"/>
        </w:rPr>
        <w:t xml:space="preserve">Climate coverage.</w:t>
      </w:r>
      <w:r>
        <w:rPr>
          <w:rFonts w:ascii="Times New Roman" w:hAnsi="Times New Roman" w:eastAsia="Times New Roman"/>
          <w:sz w:val="24"/>
        </w:rPr>
        <w:t xml:space="preserve"> </w:t>
      </w:r>
      <w:r>
        <w:rPr>
          <w:rFonts w:ascii="Times New Roman" w:hAnsi="Times New Roman" w:eastAsia="Times New Roman"/>
          <w:sz w:val="24"/>
        </w:rPr>
        <w:t xml:space="preserve">Simulations span five Korean cities across three climate zones: Seoul (central), Busan (southern), Daegu (southern), Gangneung (central-coastal), and Jeju (subtropical). Typical Meteorological Year (TMY) weather files for each city drive the simulations. For the U.S.-TMY/LHS ablation (Section 4.2), the same 700 schedule samples and archetypes were rerun with U.S. TMY files mapped by approximate ASHRAE climate-zone similarity: Seoul → Washington DC (4A), Busan → Atlanta (3A), Daegu → Charlotte (3A), Gangneung → Boston (5A), and Jeju → Miami (1A).</w:t>
      </w:r>
    </w:p>
    <w:p>
      <w:pPr>
        <w:pStyle w:val="BodyText"/>
        <w:spacing w:line="480" w:lineRule="auto" w:after="0" w:before="0"/>
      </w:pPr>
      <w:r>
        <w:rPr>
          <w:rFonts w:ascii="Times New Roman" w:hAnsi="Times New Roman" w:eastAsia="Times New Roman"/>
          <w:b/>
          <w:bCs/>
          <w:sz w:val="24"/>
        </w:rPr>
        <w:t xml:space="preserve">Operational parameter space.</w:t>
      </w:r>
      <w:r>
        <w:rPr>
          <w:rFonts w:ascii="Times New Roman" w:hAnsi="Times New Roman" w:eastAsia="Times New Roman"/>
          <w:sz w:val="24"/>
        </w:rPr>
        <w:t xml:space="preserve"> </w:t>
      </w:r>
      <w:r>
        <w:rPr>
          <w:rFonts w:ascii="Times New Roman" w:hAnsi="Times New Roman" w:eastAsia="Times New Roman"/>
          <w:sz w:val="24"/>
        </w:rPr>
        <w:t xml:space="preserve">Building operational schedules are parameterized by 12 continuous variables sampled via Latin Hypercube Sampling [23] (Table 1). These parameters govern operating hours (op_start, op_duration), baseload and ramp characteristics (baseload_pct, ramp_hours), occupancy-related patterns (weekend_factor, equip_always_on, night_equipment_frac), and stochastic variation (daily_noise_std, weekly_break_prob, seasonal_amplitude, process_load_frac, scale_mult).</w:t>
      </w:r>
    </w:p>
    <w:p>
      <w:pPr>
        <w:pStyle w:val="BodyText"/>
        <w:spacing w:line="240" w:lineRule="auto" w:after="40" w:before="240"/>
      </w:pPr>
      <w:r>
        <w:rPr>
          <w:rFonts w:ascii="Times New Roman" w:hAnsi="Times New Roman" w:eastAsia="Times New Roman"/>
          <w:b w:val="0"/>
          <w:bCs/>
          <w:sz w:val="22"/>
        </w:rPr>
        <w:t xml:space="preserve">Table 1.</w:t>
      </w:r>
      <w:r>
        <w:rPr>
          <w:rFonts w:ascii="Times New Roman" w:hAnsi="Times New Roman" w:eastAsia="Times New Roman"/>
          <w:b w:val="0"/>
          <w:sz w:val="22"/>
        </w:rPr>
        <w:t xml:space="preserve"> </w:t>
      </w:r>
      <w:r>
        <w:rPr>
          <w:rFonts w:ascii="Times New Roman" w:hAnsi="Times New Roman" w:eastAsia="Times New Roman"/>
          <w:b w:val="0"/>
          <w:sz w:val="22"/>
        </w:rPr>
        <w:t xml:space="preserve">Twelve-dimensional LHS parameter space for operational schedule generation.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pPr>
            <w:r>
              <w:rPr>
                <w:rFonts w:ascii="Times New Roman" w:hAnsi="Times New Roman" w:eastAsia="Times New Roman"/>
                <w:sz w:val="20"/>
              </w:rPr>
              <w:t xml:space="preserve">Parameter</w:t>
            </w:r>
          </w:p>
        </w:tc>
        <w:tc>
          <w:tcPr/>
          <w:p>
            <w:pPr>
              <w:pStyle w:val="Compact"/>
              <w:spacing w:line="240" w:lineRule="auto" w:after="20" w:before="0"/>
            </w:pPr>
            <w:r>
              <w:rPr>
                <w:rFonts w:ascii="Times New Roman" w:hAnsi="Times New Roman" w:eastAsia="Times New Roman"/>
                <w:sz w:val="20"/>
              </w:rPr>
              <w:t xml:space="preserve">Range</w:t>
            </w:r>
          </w:p>
        </w:tc>
        <w:tc>
          <w:tcPr/>
          <w:p>
            <w:pPr>
              <w:pStyle w:val="Compact"/>
              <w:spacing w:line="240" w:lineRule="auto" w:after="20" w:before="0"/>
            </w:pPr>
            <w:r>
              <w:rPr>
                <w:rFonts w:ascii="Times New Roman" w:hAnsi="Times New Roman" w:eastAsia="Times New Roman"/>
                <w:sz w:val="20"/>
              </w:rPr>
              <w:t xml:space="preserve">Description</w:t>
            </w:r>
          </w:p>
        </w:tc>
      </w:tr>
      <w:tr>
        <w:tc>
          <w:tcPr/>
          <w:p>
            <w:pPr>
              <w:pStyle w:val="Compact"/>
              <w:spacing w:line="240" w:lineRule="auto" w:after="20" w:before="0"/>
            </w:pPr>
            <w:r>
              <w:rPr>
                <w:rFonts w:ascii="Times New Roman" w:hAnsi="Times New Roman" w:eastAsia="Times New Roman"/>
                <w:sz w:val="20"/>
              </w:rPr>
              <w:t xml:space="preserve">op_start</w:t>
            </w:r>
          </w:p>
        </w:tc>
        <w:tc>
          <w:tcPr/>
          <w:p>
            <w:pPr>
              <w:pStyle w:val="Compact"/>
              <w:spacing w:line="240" w:lineRule="auto" w:after="20" w:before="0"/>
            </w:pPr>
            <w:r>
              <w:rPr>
                <w:rFonts w:ascii="Times New Roman" w:hAnsi="Times New Roman" w:eastAsia="Times New Roman"/>
                <w:sz w:val="20"/>
              </w:rPr>
              <w:t xml:space="preserve">0–12 h</w:t>
            </w:r>
          </w:p>
        </w:tc>
        <w:tc>
          <w:tcPr/>
          <w:p>
            <w:pPr>
              <w:pStyle w:val="Compact"/>
              <w:spacing w:line="240" w:lineRule="auto" w:after="20" w:before="0"/>
            </w:pPr>
            <w:r>
              <w:rPr>
                <w:rFonts w:ascii="Times New Roman" w:hAnsi="Times New Roman" w:eastAsia="Times New Roman"/>
                <w:sz w:val="20"/>
              </w:rPr>
              <w:t xml:space="preserve">Operation start time</w:t>
            </w:r>
          </w:p>
        </w:tc>
      </w:tr>
      <w:tr>
        <w:tc>
          <w:tcPr/>
          <w:p>
            <w:pPr>
              <w:pStyle w:val="Compact"/>
              <w:spacing w:line="240" w:lineRule="auto" w:after="20" w:before="0"/>
            </w:pPr>
            <w:r>
              <w:rPr>
                <w:rFonts w:ascii="Times New Roman" w:hAnsi="Times New Roman" w:eastAsia="Times New Roman"/>
                <w:sz w:val="20"/>
              </w:rPr>
              <w:t xml:space="preserve">op_duration</w:t>
            </w:r>
          </w:p>
        </w:tc>
        <w:tc>
          <w:tcPr/>
          <w:p>
            <w:pPr>
              <w:pStyle w:val="Compact"/>
              <w:spacing w:line="240" w:lineRule="auto" w:after="20" w:before="0"/>
            </w:pPr>
            <w:r>
              <w:rPr>
                <w:rFonts w:ascii="Times New Roman" w:hAnsi="Times New Roman" w:eastAsia="Times New Roman"/>
                <w:sz w:val="20"/>
              </w:rPr>
              <w:t xml:space="preserve">8–24 h</w:t>
            </w:r>
          </w:p>
        </w:tc>
        <w:tc>
          <w:tcPr/>
          <w:p>
            <w:pPr>
              <w:pStyle w:val="Compact"/>
              <w:spacing w:line="240" w:lineRule="auto" w:after="20" w:before="0"/>
            </w:pPr>
            <w:r>
              <w:rPr>
                <w:rFonts w:ascii="Times New Roman" w:hAnsi="Times New Roman" w:eastAsia="Times New Roman"/>
                <w:sz w:val="20"/>
              </w:rPr>
              <w:t xml:space="preserve">Operating hours per day</w:t>
            </w:r>
          </w:p>
        </w:tc>
      </w:tr>
      <w:tr>
        <w:tc>
          <w:tcPr/>
          <w:p>
            <w:pPr>
              <w:pStyle w:val="Compact"/>
              <w:spacing w:line="240" w:lineRule="auto" w:after="20" w:before="0"/>
            </w:pPr>
            <w:r>
              <w:rPr>
                <w:rFonts w:ascii="Times New Roman" w:hAnsi="Times New Roman" w:eastAsia="Times New Roman"/>
                <w:sz w:val="20"/>
              </w:rPr>
              <w:t xml:space="preserve">baseload_pct</w:t>
            </w:r>
          </w:p>
        </w:tc>
        <w:tc>
          <w:tcPr/>
          <w:p>
            <w:pPr>
              <w:pStyle w:val="Compact"/>
              <w:spacing w:line="240" w:lineRule="auto" w:after="20" w:before="0"/>
            </w:pPr>
            <w:r>
              <w:rPr>
                <w:rFonts w:ascii="Times New Roman" w:hAnsi="Times New Roman" w:eastAsia="Times New Roman"/>
                <w:sz w:val="20"/>
              </w:rPr>
              <w:t xml:space="preserve">25–98%</w:t>
            </w:r>
          </w:p>
        </w:tc>
        <w:tc>
          <w:tcPr/>
          <w:p>
            <w:pPr>
              <w:pStyle w:val="Compact"/>
              <w:spacing w:line="240" w:lineRule="auto" w:after="20" w:before="0"/>
            </w:pPr>
            <w:r>
              <w:rPr>
                <w:rFonts w:ascii="Times New Roman" w:hAnsi="Times New Roman" w:eastAsia="Times New Roman"/>
                <w:sz w:val="20"/>
              </w:rPr>
              <w:t xml:space="preserve">Off-hours load as fraction of peak</w:t>
            </w:r>
          </w:p>
        </w:tc>
      </w:tr>
      <w:tr>
        <w:tc>
          <w:tcPr/>
          <w:p>
            <w:pPr>
              <w:pStyle w:val="Compact"/>
              <w:spacing w:line="240" w:lineRule="auto" w:after="20" w:before="0"/>
            </w:pPr>
            <w:r>
              <w:rPr>
                <w:rFonts w:ascii="Times New Roman" w:hAnsi="Times New Roman" w:eastAsia="Times New Roman"/>
                <w:sz w:val="20"/>
              </w:rPr>
              <w:t xml:space="preserve">weekend_factor</w:t>
            </w:r>
          </w:p>
        </w:tc>
        <w:tc>
          <w:tcPr/>
          <w:p>
            <w:pPr>
              <w:pStyle w:val="Compact"/>
              <w:spacing w:line="240" w:lineRule="auto" w:after="20" w:before="0"/>
            </w:pPr>
            <w:r>
              <w:rPr>
                <w:rFonts w:ascii="Times New Roman" w:hAnsi="Times New Roman" w:eastAsia="Times New Roman"/>
                <w:sz w:val="20"/>
              </w:rPr>
              <w:t xml:space="preserve">0–1.2</w:t>
            </w:r>
          </w:p>
        </w:tc>
        <w:tc>
          <w:tcPr/>
          <w:p>
            <w:pPr>
              <w:pStyle w:val="Compact"/>
              <w:spacing w:line="240" w:lineRule="auto" w:after="20" w:before="0"/>
            </w:pPr>
            <w:r>
              <w:rPr>
                <w:rFonts w:ascii="Times New Roman" w:hAnsi="Times New Roman" w:eastAsia="Times New Roman"/>
                <w:sz w:val="20"/>
              </w:rPr>
              <w:t xml:space="preserve">Weekend-to-weekday load ratio</w:t>
            </w:r>
          </w:p>
        </w:tc>
      </w:tr>
      <w:tr>
        <w:tc>
          <w:tcPr/>
          <w:p>
            <w:pPr>
              <w:pStyle w:val="Compact"/>
              <w:spacing w:line="240" w:lineRule="auto" w:after="20" w:before="0"/>
            </w:pPr>
            <w:r>
              <w:rPr>
                <w:rFonts w:ascii="Times New Roman" w:hAnsi="Times New Roman" w:eastAsia="Times New Roman"/>
                <w:sz w:val="20"/>
              </w:rPr>
              <w:t xml:space="preserve">ramp_hours</w:t>
            </w:r>
          </w:p>
        </w:tc>
        <w:tc>
          <w:tcPr/>
          <w:p>
            <w:pPr>
              <w:pStyle w:val="Compact"/>
              <w:spacing w:line="240" w:lineRule="auto" w:after="20" w:before="0"/>
            </w:pPr>
            <w:r>
              <w:rPr>
                <w:rFonts w:ascii="Times New Roman" w:hAnsi="Times New Roman" w:eastAsia="Times New Roman"/>
                <w:sz w:val="20"/>
              </w:rPr>
              <w:t xml:space="preserve">0.5–4 h</w:t>
            </w:r>
          </w:p>
        </w:tc>
        <w:tc>
          <w:tcPr/>
          <w:p>
            <w:pPr>
              <w:pStyle w:val="Compact"/>
              <w:spacing w:line="240" w:lineRule="auto" w:after="20" w:before="0"/>
            </w:pPr>
            <w:r>
              <w:rPr>
                <w:rFonts w:ascii="Times New Roman" w:hAnsi="Times New Roman" w:eastAsia="Times New Roman"/>
                <w:sz w:val="20"/>
              </w:rPr>
              <w:t xml:space="preserve">Transition ramp duration</w:t>
            </w:r>
          </w:p>
        </w:tc>
      </w:tr>
      <w:tr>
        <w:tc>
          <w:tcPr/>
          <w:p>
            <w:pPr>
              <w:pStyle w:val="Compact"/>
              <w:spacing w:line="240" w:lineRule="auto" w:after="20" w:before="0"/>
            </w:pPr>
            <w:r>
              <w:rPr>
                <w:rFonts w:ascii="Times New Roman" w:hAnsi="Times New Roman" w:eastAsia="Times New Roman"/>
                <w:sz w:val="20"/>
              </w:rPr>
              <w:t xml:space="preserve">equip_always_on</w:t>
            </w:r>
          </w:p>
        </w:tc>
        <w:tc>
          <w:tcPr/>
          <w:p>
            <w:pPr>
              <w:pStyle w:val="Compact"/>
              <w:spacing w:line="240" w:lineRule="auto" w:after="20" w:before="0"/>
            </w:pPr>
            <w:r>
              <w:rPr>
                <w:rFonts w:ascii="Times New Roman" w:hAnsi="Times New Roman" w:eastAsia="Times New Roman"/>
                <w:sz w:val="20"/>
              </w:rPr>
              <w:t xml:space="preserve">30–95%</w:t>
            </w:r>
          </w:p>
        </w:tc>
        <w:tc>
          <w:tcPr/>
          <w:p>
            <w:pPr>
              <w:pStyle w:val="Compact"/>
              <w:spacing w:line="240" w:lineRule="auto" w:after="20" w:before="0"/>
            </w:pPr>
            <w:r>
              <w:rPr>
                <w:rFonts w:ascii="Times New Roman" w:hAnsi="Times New Roman" w:eastAsia="Times New Roman"/>
                <w:sz w:val="20"/>
              </w:rPr>
              <w:t xml:space="preserve">Always-on equipment fraction</w:t>
            </w:r>
          </w:p>
        </w:tc>
      </w:tr>
      <w:tr>
        <w:tc>
          <w:tcPr/>
          <w:p>
            <w:pPr>
              <w:pStyle w:val="Compact"/>
              <w:spacing w:line="240" w:lineRule="auto" w:after="20" w:before="0"/>
            </w:pPr>
            <w:r>
              <w:rPr>
                <w:rFonts w:ascii="Times New Roman" w:hAnsi="Times New Roman" w:eastAsia="Times New Roman"/>
                <w:sz w:val="20"/>
              </w:rPr>
              <w:t xml:space="preserve">daily_noise_std</w:t>
            </w:r>
          </w:p>
        </w:tc>
        <w:tc>
          <w:tcPr/>
          <w:p>
            <w:pPr>
              <w:pStyle w:val="Compact"/>
              <w:spacing w:line="240" w:lineRule="auto" w:after="20" w:before="0"/>
            </w:pPr>
            <w:r>
              <w:rPr>
                <w:rFonts w:ascii="Times New Roman" w:hAnsi="Times New Roman" w:eastAsia="Times New Roman"/>
                <w:sz w:val="20"/>
              </w:rPr>
              <w:t xml:space="preserve">5–35%</w:t>
            </w:r>
          </w:p>
        </w:tc>
        <w:tc>
          <w:tcPr/>
          <w:p>
            <w:pPr>
              <w:pStyle w:val="Compact"/>
              <w:spacing w:line="240" w:lineRule="auto" w:after="20" w:before="0"/>
            </w:pPr>
            <w:r>
              <w:rPr>
                <w:rFonts w:ascii="Times New Roman" w:hAnsi="Times New Roman" w:eastAsia="Times New Roman"/>
                <w:sz w:val="20"/>
              </w:rPr>
              <w:t xml:space="preserve">Day-to-day stochastic variation</w:t>
            </w:r>
          </w:p>
        </w:tc>
      </w:tr>
      <w:tr>
        <w:tc>
          <w:tcPr/>
          <w:p>
            <w:pPr>
              <w:pStyle w:val="Compact"/>
              <w:spacing w:line="240" w:lineRule="auto" w:after="20" w:before="0"/>
            </w:pPr>
            <w:r>
              <w:rPr>
                <w:rFonts w:ascii="Times New Roman" w:hAnsi="Times New Roman" w:eastAsia="Times New Roman"/>
                <w:sz w:val="20"/>
              </w:rPr>
              <w:t xml:space="preserve">scale_mult</w:t>
            </w:r>
          </w:p>
        </w:tc>
        <w:tc>
          <w:tcPr/>
          <w:p>
            <w:pPr>
              <w:pStyle w:val="Compact"/>
              <w:spacing w:line="240" w:lineRule="auto" w:after="20" w:before="0"/>
            </w:pPr>
            <w:r>
              <w:rPr>
                <w:rFonts w:ascii="Times New Roman" w:hAnsi="Times New Roman" w:eastAsia="Times New Roman"/>
                <w:sz w:val="20"/>
              </w:rPr>
              <w:t xml:space="preserve">0.3–3.0</w:t>
            </w:r>
          </w:p>
        </w:tc>
        <w:tc>
          <w:tcPr/>
          <w:p>
            <w:pPr>
              <w:pStyle w:val="Compact"/>
              <w:spacing w:line="240" w:lineRule="auto" w:after="20" w:before="0"/>
            </w:pPr>
            <w:r>
              <w:rPr>
                <w:rFonts w:ascii="Times New Roman" w:hAnsi="Times New Roman" w:eastAsia="Times New Roman"/>
                <w:sz w:val="20"/>
              </w:rPr>
              <w:t xml:space="preserve">Load density multiplier</w:t>
            </w:r>
          </w:p>
        </w:tc>
      </w:tr>
      <w:tr>
        <w:tc>
          <w:tcPr/>
          <w:p>
            <w:pPr>
              <w:pStyle w:val="Compact"/>
              <w:spacing w:line="240" w:lineRule="auto" w:after="20" w:before="0"/>
            </w:pPr>
            <w:r>
              <w:rPr>
                <w:rFonts w:ascii="Times New Roman" w:hAnsi="Times New Roman" w:eastAsia="Times New Roman"/>
                <w:sz w:val="20"/>
              </w:rPr>
              <w:t xml:space="preserve">night_equipment_frac</w:t>
            </w:r>
          </w:p>
        </w:tc>
        <w:tc>
          <w:tcPr/>
          <w:p>
            <w:pPr>
              <w:pStyle w:val="Compact"/>
              <w:spacing w:line="240" w:lineRule="auto" w:after="20" w:before="0"/>
            </w:pPr>
            <w:r>
              <w:rPr>
                <w:rFonts w:ascii="Times New Roman" w:hAnsi="Times New Roman" w:eastAsia="Times New Roman"/>
                <w:sz w:val="20"/>
              </w:rPr>
              <w:t xml:space="preserve">30–95%</w:t>
            </w:r>
          </w:p>
        </w:tc>
        <w:tc>
          <w:tcPr/>
          <w:p>
            <w:pPr>
              <w:pStyle w:val="Compact"/>
              <w:spacing w:line="240" w:lineRule="auto" w:after="20" w:before="0"/>
            </w:pPr>
            <w:r>
              <w:rPr>
                <w:rFonts w:ascii="Times New Roman" w:hAnsi="Times New Roman" w:eastAsia="Times New Roman"/>
                <w:sz w:val="20"/>
              </w:rPr>
              <w:t xml:space="preserve">Nighttime equipment retention</w:t>
            </w:r>
          </w:p>
        </w:tc>
      </w:tr>
      <w:tr>
        <w:tc>
          <w:tcPr/>
          <w:p>
            <w:pPr>
              <w:pStyle w:val="Compact"/>
              <w:spacing w:line="240" w:lineRule="auto" w:after="20" w:before="0"/>
            </w:pPr>
            <w:r>
              <w:rPr>
                <w:rFonts w:ascii="Times New Roman" w:hAnsi="Times New Roman" w:eastAsia="Times New Roman"/>
                <w:sz w:val="20"/>
              </w:rPr>
              <w:t xml:space="preserve">weekly_break_prob</w:t>
            </w:r>
          </w:p>
        </w:tc>
        <w:tc>
          <w:tcPr/>
          <w:p>
            <w:pPr>
              <w:pStyle w:val="Compact"/>
              <w:spacing w:line="240" w:lineRule="auto" w:after="20" w:before="0"/>
            </w:pPr>
            <w:r>
              <w:rPr>
                <w:rFonts w:ascii="Times New Roman" w:hAnsi="Times New Roman" w:eastAsia="Times New Roman"/>
                <w:sz w:val="20"/>
              </w:rPr>
              <w:t xml:space="preserve">0–25%</w:t>
            </w:r>
          </w:p>
        </w:tc>
        <w:tc>
          <w:tcPr/>
          <w:p>
            <w:pPr>
              <w:pStyle w:val="Compact"/>
              <w:spacing w:line="240" w:lineRule="auto" w:after="20" w:before="0"/>
            </w:pPr>
            <w:r>
              <w:rPr>
                <w:rFonts w:ascii="Times New Roman" w:hAnsi="Times New Roman" w:eastAsia="Times New Roman"/>
                <w:sz w:val="20"/>
              </w:rPr>
              <w:t xml:space="preserve">Weekly pattern disruption probability</w:t>
            </w:r>
          </w:p>
        </w:tc>
      </w:tr>
      <w:tr>
        <w:tc>
          <w:tcPr/>
          <w:p>
            <w:pPr>
              <w:pStyle w:val="Compact"/>
              <w:spacing w:line="240" w:lineRule="auto" w:after="20" w:before="0"/>
            </w:pPr>
            <w:r>
              <w:rPr>
                <w:rFonts w:ascii="Times New Roman" w:hAnsi="Times New Roman" w:eastAsia="Times New Roman"/>
                <w:sz w:val="20"/>
              </w:rPr>
              <w:t xml:space="preserve">seasonal_amplitude</w:t>
            </w:r>
          </w:p>
        </w:tc>
        <w:tc>
          <w:tcPr/>
          <w:p>
            <w:pPr>
              <w:pStyle w:val="Compact"/>
              <w:spacing w:line="240" w:lineRule="auto" w:after="20" w:before="0"/>
            </w:pPr>
            <w:r>
              <w:rPr>
                <w:rFonts w:ascii="Times New Roman" w:hAnsi="Times New Roman" w:eastAsia="Times New Roman"/>
                <w:sz w:val="20"/>
              </w:rPr>
              <w:t xml:space="preserve">0–30%</w:t>
            </w:r>
          </w:p>
        </w:tc>
        <w:tc>
          <w:tcPr/>
          <w:p>
            <w:pPr>
              <w:pStyle w:val="Compact"/>
              <w:spacing w:line="240" w:lineRule="auto" w:after="20" w:before="0"/>
            </w:pPr>
            <w:r>
              <w:rPr>
                <w:rFonts w:ascii="Times New Roman" w:hAnsi="Times New Roman" w:eastAsia="Times New Roman"/>
                <w:sz w:val="20"/>
              </w:rPr>
              <w:t xml:space="preserve">Seasonal load oscillation amplitude</w:t>
            </w:r>
          </w:p>
        </w:tc>
      </w:tr>
      <w:tr>
        <w:tc>
          <w:tcPr/>
          <w:p>
            <w:pPr>
              <w:pStyle w:val="Compact"/>
              <w:spacing w:line="240" w:lineRule="auto" w:after="20" w:before="0"/>
            </w:pPr>
            <w:r>
              <w:rPr>
                <w:rFonts w:ascii="Times New Roman" w:hAnsi="Times New Roman" w:eastAsia="Times New Roman"/>
                <w:sz w:val="20"/>
              </w:rPr>
              <w:t xml:space="preserve">process_load_frac</w:t>
            </w:r>
          </w:p>
        </w:tc>
        <w:tc>
          <w:tcPr/>
          <w:p>
            <w:pPr>
              <w:pStyle w:val="Compact"/>
              <w:spacing w:line="240" w:lineRule="auto" w:after="20" w:before="0"/>
            </w:pPr>
            <w:r>
              <w:rPr>
                <w:rFonts w:ascii="Times New Roman" w:hAnsi="Times New Roman" w:eastAsia="Times New Roman"/>
                <w:sz w:val="20"/>
              </w:rPr>
              <w:t xml:space="preserve">0–50%</w:t>
            </w:r>
          </w:p>
        </w:tc>
        <w:tc>
          <w:tcPr/>
          <w:p>
            <w:pPr>
              <w:pStyle w:val="Compact"/>
              <w:spacing w:line="240" w:lineRule="auto" w:after="20" w:before="0"/>
            </w:pPr>
            <w:r>
              <w:rPr>
                <w:rFonts w:ascii="Times New Roman" w:hAnsi="Times New Roman" w:eastAsia="Times New Roman"/>
                <w:sz w:val="20"/>
              </w:rPr>
              <w:t xml:space="preserve">Constant process load fraction</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The 12 parameters were selected to span the primary operational degrees of freedom identified in commercial building energy audits; sensitivity to individual parameters has not been analyzed. LHS [23] ensures stratified marginal coverage across all 12 dimensions, improving space filling relative to random sampling, and produces buildings that range from 24/7 high-baseload facilities (resembling data centers or hospitals) to weekday-only offices with steep morning ramps and low overnight loads. The overall pipeline from archetype selection through simulation to zero-shot inference is illustrated in Fig. 1. For the n = 50 configuration used in our main experiments, this yields 50 samples per archetype × 14 archetypes = 700 buildings. Each sample modifies the EnergyPlus IDF file—adjusting internal load schedules, equipment power densities, and occupancy patterns—runs a full annual simulation (8,760 hours), and extracts hourly total electricity consumption.</w:t>
      </w:r>
    </w:p>
    <w:p>
      <w:pPr>
        <w:pStyle w:val="BodyText"/>
        <w:spacing w:line="480" w:lineRule="auto" w:after="0" w:before="0"/>
      </w:pPr>
      <w:r>
        <w:rPr>
          <w:rFonts w:ascii="Times New Roman" w:hAnsi="Times New Roman" w:eastAsia="Times New Roman"/>
          <w:sz w:val="24"/>
        </w:rPr>
        <w:t xml:space="preserve">Unlike stock-model sampling—which reflects the statistical distribution of real buildings (many near typical conditions, few at extremes)—LHS ensures uniform marginal coverage in each dimension. Stock-model sampling asks</w:t>
      </w:r>
      <w:r>
        <w:rPr>
          <w:rFonts w:ascii="Times New Roman" w:hAnsi="Times New Roman" w:eastAsia="Times New Roman"/>
          <w:sz w:val="24"/>
        </w:rPr>
        <w:t xml:space="preserve"> </w:t>
      </w:r>
      <w:r>
        <w:rPr>
          <w:rFonts w:ascii="Times New Roman" w:hAnsi="Times New Roman" w:eastAsia="Times New Roman"/>
          <w:sz w:val="24"/>
        </w:rPr>
        <w:t xml:space="preserve">“what does the building stock look like?”</w:t>
      </w:r>
      <w:r>
        <w:rPr>
          <w:rFonts w:ascii="Times New Roman" w:hAnsi="Times New Roman" w:eastAsia="Times New Roman"/>
          <w:sz w:val="24"/>
        </w:rPr>
        <w:t xml:space="preserve">; LHS asks</w:t>
      </w:r>
      <w:r>
        <w:rPr>
          <w:rFonts w:ascii="Times New Roman" w:hAnsi="Times New Roman" w:eastAsia="Times New Roman"/>
          <w:sz w:val="24"/>
        </w:rPr>
        <w:t xml:space="preserve"> </w:t>
      </w:r>
      <w:r>
        <w:rPr>
          <w:rFonts w:ascii="Times New Roman" w:hAnsi="Times New Roman" w:eastAsia="Times New Roman"/>
          <w:sz w:val="24"/>
        </w:rPr>
        <w:t xml:space="preserve">“what temporal patterns can buildings produce?”</w:t>
      </w:r>
    </w:p>
    <w:p>
      <w:pPr>
        <w:pStyle w:val="BodyText"/>
        <w:spacing w:line="480" w:lineRule="auto" w:after="0" w:before="0"/>
      </w:pPr>
      <w:r>
        <w:rPr>
          <w:rFonts w:ascii="Times New Roman" w:hAnsi="Times New Roman" w:eastAsia="Times New Roman"/>
          <w:b/>
          <w:bCs/>
          <w:sz w:val="24"/>
        </w:rPr>
        <w:t xml:space="preserve">Post-hoc distributional comparison.</w:t>
      </w:r>
      <w:r>
        <w:rPr>
          <w:rFonts w:ascii="Times New Roman" w:hAnsi="Times New Roman" w:eastAsia="Times New Roman"/>
          <w:sz w:val="24"/>
        </w:rPr>
        <w:t xml:space="preserve"> </w:t>
      </w:r>
      <w:r>
        <w:rPr>
          <w:rFonts w:ascii="Times New Roman" w:hAnsi="Times New Roman" w:eastAsia="Times New Roman"/>
          <w:sz w:val="24"/>
        </w:rPr>
        <w:t xml:space="preserve">Four parameters—night_equipment_frac, weekly_break_prob, seasonal_amplitude, and process_load_frac—represent common operational phenomena in commercial buildings: nighttime equipment retention, weekly schedule disruptions, seasonal load variation, and constant process loads. Table 2 provides a post-hoc comparison showing that including them brings simulated profiles closer to the aggregate distributional statistics of real buildings. These statistics were computed after defining the 12D parameter space and were not used for model selection, hyperparameter tuning, or adjustment of the reported LHS ranges. Because the comparison statistics are drawn from the public evaluation corpus, this analysis is reported only to interpret the resulting distributional coverage and should not be interpreted as a fully blind design step; the parameters affect only the marginal distribution of temporal shapes in the training corpus, not any individual building’s load values.</w:t>
      </w:r>
    </w:p>
    <w:p>
      <w:pPr>
        <w:pStyle w:val="BodyText"/>
        <w:spacing w:line="240" w:lineRule="auto" w:after="40" w:before="240"/>
      </w:pPr>
      <w:r>
        <w:rPr>
          <w:rFonts w:ascii="Times New Roman" w:hAnsi="Times New Roman" w:eastAsia="Times New Roman"/>
          <w:b w:val="0"/>
          <w:bCs/>
          <w:sz w:val="22"/>
        </w:rPr>
        <w:t xml:space="preserve">Table 2.</w:t>
      </w:r>
      <w:r>
        <w:rPr>
          <w:rFonts w:ascii="Times New Roman" w:hAnsi="Times New Roman" w:eastAsia="Times New Roman"/>
          <w:b w:val="0"/>
          <w:sz w:val="22"/>
        </w:rPr>
        <w:t xml:space="preserve"> </w:t>
      </w:r>
      <w:r>
        <w:rPr>
          <w:rFonts w:ascii="Times New Roman" w:hAnsi="Times New Roman" w:eastAsia="Times New Roman"/>
          <w:b w:val="0"/>
          <w:sz w:val="22"/>
        </w:rPr>
        <w:t xml:space="preserve">Post-hoc comparison of simulated and real-building load-profile statistics, with and without the four diversity-enhancing parameters. Metrics characterize input sequence shape (X), not prediction targets (y). Night/day ratio: nighttime-to-daytime mean load; Autocorr 168h: weekly periodicity; Baseload P95: minimum/maximum daily load; CV P5: day-to-day variability.</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pPr>
            <w:r>
              <w:rPr>
                <w:rFonts w:ascii="Times New Roman" w:hAnsi="Times New Roman" w:eastAsia="Times New Roman"/>
                <w:sz w:val="20"/>
              </w:rPr>
              <w:t xml:space="preserve">Metric</w:t>
            </w:r>
          </w:p>
        </w:tc>
        <w:tc>
          <w:tcPr/>
          <w:p>
            <w:pPr>
              <w:pStyle w:val="Compact"/>
              <w:spacing w:line="240" w:lineRule="auto" w:after="20" w:before="0"/>
              <w:jc w:val="center"/>
            </w:pPr>
            <w:r>
              <w:rPr>
                <w:rFonts w:ascii="Times New Roman" w:hAnsi="Times New Roman" w:eastAsia="Times New Roman"/>
                <w:sz w:val="20"/>
              </w:rPr>
              <w:t xml:space="preserve">Without 4 params</w:t>
            </w:r>
          </w:p>
        </w:tc>
        <w:tc>
          <w:tcPr/>
          <w:p>
            <w:pPr>
              <w:pStyle w:val="Compact"/>
              <w:spacing w:line="240" w:lineRule="auto" w:after="20" w:before="0"/>
              <w:jc w:val="center"/>
            </w:pPr>
            <w:r>
              <w:rPr>
                <w:rFonts w:ascii="Times New Roman" w:hAnsi="Times New Roman" w:eastAsia="Times New Roman"/>
                <w:sz w:val="20"/>
              </w:rPr>
              <w:t xml:space="preserve">With 4 params</w:t>
            </w:r>
          </w:p>
        </w:tc>
        <w:tc>
          <w:tcPr/>
          <w:p>
            <w:pPr>
              <w:pStyle w:val="Compact"/>
              <w:spacing w:line="240" w:lineRule="auto" w:after="20" w:before="0"/>
              <w:jc w:val="center"/>
            </w:pPr>
            <w:r>
              <w:rPr>
                <w:rFonts w:ascii="Times New Roman" w:hAnsi="Times New Roman" w:eastAsia="Times New Roman"/>
                <w:sz w:val="20"/>
              </w:rPr>
              <w:t xml:space="preserve">BB Real Buildings</w:t>
            </w:r>
          </w:p>
        </w:tc>
      </w:tr>
      <w:tr>
        <w:tc>
          <w:tcPr/>
          <w:p>
            <w:pPr>
              <w:pStyle w:val="Compact"/>
              <w:spacing w:line="240" w:lineRule="auto" w:after="20" w:before="0"/>
            </w:pPr>
            <w:r>
              <w:rPr>
                <w:rFonts w:ascii="Times New Roman" w:hAnsi="Times New Roman" w:eastAsia="Times New Roman"/>
                <w:sz w:val="20"/>
              </w:rPr>
              <w:t xml:space="preserve">Night/Day ratio</w:t>
            </w:r>
          </w:p>
        </w:tc>
        <w:tc>
          <w:tcPr/>
          <w:p>
            <w:pPr>
              <w:pStyle w:val="Compact"/>
              <w:spacing w:line="240" w:lineRule="auto" w:after="20" w:before="0"/>
              <w:jc w:val="center"/>
            </w:pPr>
            <w:r>
              <w:rPr>
                <w:rFonts w:ascii="Times New Roman" w:hAnsi="Times New Roman" w:eastAsia="Times New Roman"/>
                <w:sz w:val="20"/>
              </w:rPr>
              <w:t xml:space="preserve">0.512</w:t>
            </w:r>
          </w:p>
        </w:tc>
        <w:tc>
          <w:tcPr/>
          <w:p>
            <w:pPr>
              <w:pStyle w:val="Compact"/>
              <w:spacing w:line="240" w:lineRule="auto" w:after="20" w:before="0"/>
              <w:jc w:val="center"/>
            </w:pPr>
            <w:r>
              <w:rPr>
                <w:rFonts w:ascii="Times New Roman" w:hAnsi="Times New Roman" w:eastAsia="Times New Roman"/>
                <w:sz w:val="20"/>
              </w:rPr>
              <w:t xml:space="preserve">0.852</w:t>
            </w:r>
          </w:p>
        </w:tc>
        <w:tc>
          <w:tcPr/>
          <w:p>
            <w:pPr>
              <w:pStyle w:val="Compact"/>
              <w:spacing w:line="240" w:lineRule="auto" w:after="20" w:before="0"/>
              <w:jc w:val="center"/>
            </w:pPr>
            <w:r>
              <w:rPr>
                <w:rFonts w:ascii="Times New Roman" w:hAnsi="Times New Roman" w:eastAsia="Times New Roman"/>
                <w:sz w:val="20"/>
              </w:rPr>
              <w:t xml:space="preserve">0.803</w:t>
            </w:r>
          </w:p>
        </w:tc>
      </w:tr>
      <w:tr>
        <w:tc>
          <w:tcPr/>
          <w:p>
            <w:pPr>
              <w:pStyle w:val="Compact"/>
              <w:spacing w:line="240" w:lineRule="auto" w:after="20" w:before="0"/>
            </w:pPr>
            <w:r>
              <w:rPr>
                <w:rFonts w:ascii="Times New Roman" w:hAnsi="Times New Roman" w:eastAsia="Times New Roman"/>
                <w:sz w:val="20"/>
              </w:rPr>
              <w:t xml:space="preserve">Autocorrelation (168h)</w:t>
            </w:r>
          </w:p>
        </w:tc>
        <w:tc>
          <w:tcPr/>
          <w:p>
            <w:pPr>
              <w:pStyle w:val="Compact"/>
              <w:spacing w:line="240" w:lineRule="auto" w:after="20" w:before="0"/>
              <w:jc w:val="center"/>
            </w:pPr>
            <w:r>
              <w:rPr>
                <w:rFonts w:ascii="Times New Roman" w:hAnsi="Times New Roman" w:eastAsia="Times New Roman"/>
                <w:sz w:val="20"/>
              </w:rPr>
              <w:t xml:space="preserve">0.938</w:t>
            </w:r>
          </w:p>
        </w:tc>
        <w:tc>
          <w:tcPr/>
          <w:p>
            <w:pPr>
              <w:pStyle w:val="Compact"/>
              <w:spacing w:line="240" w:lineRule="auto" w:after="20" w:before="0"/>
              <w:jc w:val="center"/>
            </w:pPr>
            <w:r>
              <w:rPr>
                <w:rFonts w:ascii="Times New Roman" w:hAnsi="Times New Roman" w:eastAsia="Times New Roman"/>
                <w:sz w:val="20"/>
              </w:rPr>
              <w:t xml:space="preserve">0.784</w:t>
            </w:r>
          </w:p>
        </w:tc>
        <w:tc>
          <w:tcPr/>
          <w:p>
            <w:pPr>
              <w:pStyle w:val="Compact"/>
              <w:spacing w:line="240" w:lineRule="auto" w:after="20" w:before="0"/>
              <w:jc w:val="center"/>
            </w:pPr>
            <w:r>
              <w:rPr>
                <w:rFonts w:ascii="Times New Roman" w:hAnsi="Times New Roman" w:eastAsia="Times New Roman"/>
                <w:sz w:val="20"/>
              </w:rPr>
              <w:t xml:space="preserve">0.751</w:t>
            </w:r>
          </w:p>
        </w:tc>
      </w:tr>
      <w:tr>
        <w:tc>
          <w:tcPr/>
          <w:p>
            <w:pPr>
              <w:pStyle w:val="Compact"/>
              <w:spacing w:line="240" w:lineRule="auto" w:after="20" w:before="0"/>
            </w:pPr>
            <w:r>
              <w:rPr>
                <w:rFonts w:ascii="Times New Roman" w:hAnsi="Times New Roman" w:eastAsia="Times New Roman"/>
                <w:sz w:val="20"/>
              </w:rPr>
              <w:t xml:space="preserve">Baseload P95</w:t>
            </w:r>
          </w:p>
        </w:tc>
        <w:tc>
          <w:tcPr/>
          <w:p>
            <w:pPr>
              <w:pStyle w:val="Compact"/>
              <w:spacing w:line="240" w:lineRule="auto" w:after="20" w:before="0"/>
              <w:jc w:val="center"/>
            </w:pPr>
            <w:r>
              <w:rPr>
                <w:rFonts w:ascii="Times New Roman" w:hAnsi="Times New Roman" w:eastAsia="Times New Roman"/>
                <w:sz w:val="20"/>
              </w:rPr>
              <w:t xml:space="preserve">0.51</w:t>
            </w:r>
          </w:p>
        </w:tc>
        <w:tc>
          <w:tcPr/>
          <w:p>
            <w:pPr>
              <w:pStyle w:val="Compact"/>
              <w:spacing w:line="240" w:lineRule="auto" w:after="20" w:before="0"/>
              <w:jc w:val="center"/>
            </w:pPr>
            <w:r>
              <w:rPr>
                <w:rFonts w:ascii="Times New Roman" w:hAnsi="Times New Roman" w:eastAsia="Times New Roman"/>
                <w:sz w:val="20"/>
              </w:rPr>
              <w:t xml:space="preserve">0.905</w:t>
            </w:r>
          </w:p>
        </w:tc>
        <w:tc>
          <w:tcPr/>
          <w:p>
            <w:pPr>
              <w:pStyle w:val="Compact"/>
              <w:spacing w:line="240" w:lineRule="auto" w:after="20" w:before="0"/>
              <w:jc w:val="center"/>
            </w:pPr>
            <w:r>
              <w:rPr>
                <w:rFonts w:ascii="Times New Roman" w:hAnsi="Times New Roman" w:eastAsia="Times New Roman"/>
                <w:sz w:val="20"/>
              </w:rPr>
              <w:t xml:space="preserve">0.725</w:t>
            </w:r>
          </w:p>
        </w:tc>
      </w:tr>
      <w:tr>
        <w:tc>
          <w:tcPr/>
          <w:p>
            <w:pPr>
              <w:pStyle w:val="Compact"/>
              <w:spacing w:line="240" w:lineRule="auto" w:after="20" w:before="0"/>
            </w:pPr>
            <w:r>
              <w:rPr>
                <w:rFonts w:ascii="Times New Roman" w:hAnsi="Times New Roman" w:eastAsia="Times New Roman"/>
                <w:sz w:val="20"/>
              </w:rPr>
              <w:t xml:space="preserve">CV P5 (flatness)</w:t>
            </w:r>
          </w:p>
        </w:tc>
        <w:tc>
          <w:tcPr/>
          <w:p>
            <w:pPr>
              <w:pStyle w:val="Compact"/>
              <w:spacing w:line="240" w:lineRule="auto" w:after="20" w:before="0"/>
              <w:jc w:val="center"/>
            </w:pPr>
            <w:r>
              <w:rPr>
                <w:rFonts w:ascii="Times New Roman" w:hAnsi="Times New Roman" w:eastAsia="Times New Roman"/>
                <w:sz w:val="20"/>
              </w:rPr>
              <w:t xml:space="preserve">0.21</w:t>
            </w:r>
          </w:p>
        </w:tc>
        <w:tc>
          <w:tcPr/>
          <w:p>
            <w:pPr>
              <w:pStyle w:val="Compact"/>
              <w:spacing w:line="240" w:lineRule="auto" w:after="20" w:before="0"/>
              <w:jc w:val="center"/>
            </w:pPr>
            <w:r>
              <w:rPr>
                <w:rFonts w:ascii="Times New Roman" w:hAnsi="Times New Roman" w:eastAsia="Times New Roman"/>
                <w:sz w:val="20"/>
              </w:rPr>
              <w:t xml:space="preserve">0.032</w:t>
            </w:r>
          </w:p>
        </w:tc>
        <w:tc>
          <w:tcPr/>
          <w:p>
            <w:pPr>
              <w:pStyle w:val="Compact"/>
              <w:spacing w:line="240" w:lineRule="auto" w:after="20" w:before="0"/>
              <w:jc w:val="center"/>
            </w:pPr>
            <w:r>
              <w:rPr>
                <w:rFonts w:ascii="Times New Roman" w:hAnsi="Times New Roman" w:eastAsia="Times New Roman"/>
                <w:sz w:val="20"/>
              </w:rPr>
              <w:t xml:space="preserve">0.105</w:t>
            </w:r>
          </w:p>
        </w:tc>
      </w:tr>
    </w:tbl>
    <w:p>
      <w:pPr>
        <w:spacing w:line="480" w:lineRule="auto" w:after="0" w:before="0"/>
      </w:pPr>
    </w:p>
    <w:bookmarkEnd w:id="16"/>
    <w:bookmarkStart w:id="17" w:name="model-architecture"/>
    <w:p>
      <w:pPr>
        <w:pStyle w:val="Heading3"/>
        <w:keepNext/>
        <w:spacing w:line="480" w:lineRule="auto" w:after="60" w:before="120"/>
      </w:pPr>
      <w:r>
        <w:rPr>
          <w:rFonts w:ascii="Times New Roman" w:hAnsi="Times New Roman" w:eastAsia="Times New Roman"/>
          <w:b/>
          <w:i w:val="0"/>
          <w:sz w:val="24"/>
        </w:rPr>
        <w:t xml:space="preserve">3.2 Model Architecture</w:t>
      </w:r>
    </w:p>
    <w:p>
      <w:pPr>
        <w:pStyle w:val="FirstParagraph"/>
        <w:spacing w:line="480" w:lineRule="auto" w:after="0" w:before="0"/>
      </w:pPr>
      <w:r>
        <w:rPr>
          <w:rFonts w:ascii="Times New Roman" w:hAnsi="Times New Roman" w:eastAsia="Times New Roman"/>
          <w:sz w:val="24"/>
        </w:rPr>
        <w:t xml:space="preserve">To isolate the effect of training data from model design, we adopt the identical Transformer architecture used in BuildingsBench [3]. The encoder-decoder model has 3 encoder and 3 decoder layers, d_model = 512, 8 attention heads, and a feedforward dimension of 1024, totaling 15.8M parameters (identical to BuildingsBench Transformer-M). Input consists of 168 hourly load values along with temporal features (day-of-year sinusoidal encoding, day-of-week embedding, and hour-of-day embedding). The model predicts 24-hour-ahead Gaussian distribution parameters (mu, sigma) through autoregressive decoding, trained with Gaussian negative log-likelihood loss.</w:t>
      </w:r>
    </w:p>
    <w:p>
      <w:pPr>
        <w:pStyle w:val="BodyText"/>
        <w:spacing w:line="480" w:lineRule="auto" w:after="0" w:before="0"/>
      </w:pPr>
      <w:r>
        <w:rPr>
          <w:rFonts w:ascii="Times New Roman" w:hAnsi="Times New Roman" w:eastAsia="Times New Roman"/>
          <w:b/>
          <w:bCs/>
          <w:sz w:val="24"/>
        </w:rPr>
        <w:t xml:space="preserve">Reversible Instance Normalization.</w:t>
      </w:r>
      <w:r>
        <w:rPr>
          <w:rFonts w:ascii="Times New Roman" w:hAnsi="Times New Roman" w:eastAsia="Times New Roman"/>
          <w:sz w:val="24"/>
        </w:rPr>
        <w:t xml:space="preserve"> </w:t>
      </w:r>
      <w:r>
        <w:rPr>
          <w:rFonts w:ascii="Times New Roman" w:hAnsi="Times New Roman" w:eastAsia="Times New Roman"/>
          <w:sz w:val="24"/>
        </w:rPr>
        <w:t xml:space="preserve">Before encoding, the 168-hour context window is normalized by its instance mean and standard deviation:</w:t>
      </w:r>
    </w:p>
    <w:p>
      <w:pPr>
        <w:pStyle w:val="BodyText"/>
        <w:spacing w:line="480" w:lineRule="auto" w:after="0" w:before="0"/>
      </w:pPr>
      <m:oMathPara>
        <m:oMathParaPr>
          <m:jc m:val="center"/>
        </m:oMathParaPr>
        <m:oMath>
          <m:sSub>
            <m:e>
              <m:r>
                <m:t>x</m:t>
              </m:r>
            </m:e>
            <m:sub>
              <m:r>
                <m:rPr>
                  <m:nor/>
                  <m:sty m:val="p"/>
                </m:rPr>
                <m:t>norm</m:t>
              </m:r>
            </m:sub>
          </m:sSub>
          <m:r>
            <m:rPr>
              <m:sty m:val="p"/>
            </m:rPr>
            <m:t>=</m:t>
          </m:r>
          <m:r>
            <m:rPr>
              <m:sty m:val="p"/>
            </m:rPr>
            <m:t>(</m:t>
          </m:r>
          <m:r>
            <m:t>x</m:t>
          </m:r>
          <m:r>
            <m:rPr>
              <m:sty m:val="p"/>
            </m:rPr>
            <m:t>−</m:t>
          </m:r>
          <m:sSub>
            <m:e>
              <m:r>
                <m:t>μ</m:t>
              </m:r>
            </m:e>
            <m:sub>
              <m:r>
                <m:rPr>
                  <m:nor/>
                  <m:sty m:val="p"/>
                </m:rPr>
                <m:t>ctx</m:t>
              </m:r>
            </m:sub>
          </m:sSub>
          <m:r>
            <m:rPr>
              <m:sty m:val="p"/>
            </m:rPr>
            <m:t>)</m:t>
          </m:r>
          <m:r>
            <m:rPr>
              <m:sty m:val="p"/>
            </m:rPr>
            <m:t>/</m:t>
          </m:r>
          <m:sSub>
            <m:e>
              <m:r>
                <m:t>σ</m:t>
              </m:r>
            </m:e>
            <m:sub>
              <m:r>
                <m:rPr>
                  <m:nor/>
                  <m:sty m:val="p"/>
                </m:rPr>
                <m:t>ctx</m:t>
              </m:r>
            </m:sub>
          </m:sSub>
        </m:oMath>
      </m:oMathPara>
    </w:p>
    <w:p>
      <w:pPr>
        <w:pStyle w:val="FirstParagraph"/>
        <w:spacing w:line="480" w:lineRule="auto" w:after="0" w:before="0"/>
      </w:pPr>
      <w:r>
        <w:rPr>
          <w:rFonts w:ascii="Times New Roman" w:hAnsi="Times New Roman" w:eastAsia="Times New Roman"/>
          <w:sz w:val="24"/>
        </w:rPr>
        <w:t xml:space="preserve">After decoding, the normalization is reversed:</w:t>
      </w:r>
    </w:p>
    <w:p>
      <w:pPr>
        <w:pStyle w:val="BodyText"/>
        <w:spacing w:line="480" w:lineRule="auto" w:after="0" w:before="0"/>
      </w:pPr>
      <m:oMathPara>
        <m:oMathParaPr>
          <m:jc m:val="center"/>
        </m:oMathParaPr>
        <m:oMath>
          <m:acc>
            <m:accPr>
              <m:chr m:val="̂"/>
            </m:accPr>
            <m:e>
              <m:r>
                <m:t>y</m:t>
              </m:r>
            </m:e>
          </m:acc>
          <m:r>
            <m:rPr>
              <m:sty m:val="p"/>
            </m:rPr>
            <m:t>=</m:t>
          </m:r>
          <m:sSub>
            <m:e>
              <m:acc>
                <m:accPr>
                  <m:chr m:val="̂"/>
                </m:accPr>
                <m:e>
                  <m:r>
                    <m:t>y</m:t>
                  </m:r>
                </m:e>
              </m:acc>
            </m:e>
            <m:sub>
              <m:r>
                <m:rPr>
                  <m:nor/>
                  <m:sty m:val="p"/>
                </m:rPr>
                <m:t>norm</m:t>
              </m:r>
            </m:sub>
          </m:sSub>
          <m:r>
            <m:rPr>
              <m:sty m:val="p"/>
            </m:rPr>
            <m:t>⋅</m:t>
          </m:r>
          <m:sSub>
            <m:e>
              <m:r>
                <m:t>σ</m:t>
              </m:r>
            </m:e>
            <m:sub>
              <m:r>
                <m:rPr>
                  <m:nor/>
                  <m:sty m:val="p"/>
                </m:rPr>
                <m:t>ctx</m:t>
              </m:r>
            </m:sub>
          </m:sSub>
          <m:r>
            <m:rPr>
              <m:sty m:val="p"/>
            </m:rPr>
            <m:t>+</m:t>
          </m:r>
          <m:sSub>
            <m:e>
              <m:r>
                <m:t>μ</m:t>
              </m:r>
            </m:e>
            <m:sub>
              <m:r>
                <m:rPr>
                  <m:nor/>
                  <m:sty m:val="p"/>
                </m:rPr>
                <m:t>ctx</m:t>
              </m:r>
            </m:sub>
          </m:sSub>
        </m:oMath>
      </m:oMathPara>
    </w:p>
    <w:p>
      <w:pPr>
        <w:pStyle w:val="FirstParagraph"/>
        <w:spacing w:line="480" w:lineRule="auto" w:after="0" w:before="0"/>
      </w:pPr>
      <w:r>
        <w:rPr>
          <w:rFonts w:ascii="Times New Roman" w:hAnsi="Times New Roman" w:eastAsia="Times New Roman"/>
          <w:sz w:val="24"/>
        </w:rPr>
        <w:t xml:space="preserve">This removes building-specific load magnitude and variability from the learning problem, allowing the model to focus on temporal shape. RevIN is a standard technique [8] that does not modify the Transformer architecture; it operates as a pre- and post-processing layer. We apply it symmetrically in all controlled experiments, including the BuildingsBench baselines, to ensure fair comparison within our experimental framework. The comparison between our RevIN-equipped model and the original BuildingsBench (which does not use RevIN) is not strictly equivalent; we discuss this asymmetry in Section 5.1.</w:t>
      </w:r>
    </w:p>
    <w:p>
      <w:pPr>
        <w:pStyle w:val="BodyText"/>
        <w:spacing w:line="480" w:lineRule="auto" w:after="0" w:before="0"/>
      </w:pPr>
      <w:r>
        <w:rPr>
          <w:rFonts w:ascii="Times New Roman" w:hAnsi="Times New Roman" w:eastAsia="Times New Roman"/>
          <w:b/>
          <w:bCs/>
          <w:sz w:val="24"/>
        </w:rPr>
        <w:t xml:space="preserve">No geographic features.</w:t>
      </w:r>
      <w:r>
        <w:rPr>
          <w:rFonts w:ascii="Times New Roman" w:hAnsi="Times New Roman" w:eastAsia="Times New Roman"/>
          <w:sz w:val="24"/>
        </w:rPr>
        <w:t xml:space="preserve"> </w:t>
      </w:r>
      <w:r>
        <w:rPr>
          <w:rFonts w:ascii="Times New Roman" w:hAnsi="Times New Roman" w:eastAsia="Times New Roman"/>
          <w:sz w:val="24"/>
        </w:rPr>
        <w:t xml:space="preserve">BuildingsBench provides latitude and longitude embeddings as model inputs. We set both to zero for all buildings—both training and evaluation. The ablation in Section 4.4 replaces zero with actual Korean city coordinates for training buildings (Seoul, Busan, Daegu, Gangneung, Jeju), while evaluation buildings retain zero. This produces results indistinguishable from the zero-coordinate baseline when RevIN is active (Table 5), suggesting that actual training coordinates provide no benefit when evaluation coordinates are unavailable and set to zero—the model cannot exploit geographic information it has never seen at test time, and RevIN absorbs the scale differences that coordinates might otherwise encode.</w:t>
      </w:r>
    </w:p>
    <w:bookmarkEnd w:id="17"/>
    <w:bookmarkStart w:id="18" w:name="training-protocol"/>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3.3 Training Protocol</w:t>
      </w:r>
    </w:p>
    <w:p>
      <w:pPr>
        <w:pStyle w:val="FirstParagraph"/>
        <w:spacing w:line="480" w:lineRule="auto" w:after="0" w:before="0"/>
      </w:pPr>
      <w:r>
        <w:rPr>
          <w:rFonts w:ascii="Times New Roman" w:hAnsi="Times New Roman" w:eastAsia="Times New Roman"/>
          <w:sz w:val="24"/>
        </w:rPr>
        <w:t xml:space="preserve">We apply a global Box-Cox power transform [24] fitted on our Korean simulation data to normalize load values before training. The fitted power parameter λ = −0.067 matches the value we measured from the BuildingsBench checkpoint, but the scale and location parameters (mean_, scale_) differ because they are fitted to the Korean corpus rather than the U.S. stock-model corpus. The optimizer is AdamW [25] with a learning rate of 6 × 10⁻⁵, weight decay of 0.01, cosine annealing schedule, and a 500-step linear warmup. Training runs for 18,000 gradient steps with batch size 128, corresponding to approximately 9 epochs over the 250,600 sliding windows derived from 700 buildings (358 windows per building at stride 24). Data augmentation includes window jitter (±1–6 hours random shift of the context window start), Gaussian noise (sigma = 0.02 in Box-Cox space), and amplitude scaling (uniform in [0.85, 1.15]). Mixed-precision (FP16) autocast is used during training and inference.</w:t>
      </w:r>
    </w:p>
    <w:p>
      <w:pPr>
        <w:pStyle w:val="BodyText"/>
        <w:spacing w:line="480" w:lineRule="auto" w:after="0" w:before="0"/>
      </w:pPr>
      <w:r>
        <w:rPr>
          <w:rFonts w:ascii="Times New Roman" w:hAnsi="Times New Roman" w:eastAsia="Times New Roman"/>
          <w:sz w:val="24"/>
        </w:rPr>
        <w:t xml:space="preserve">Both our training and BuildingsBench use approximately 18,000 gradient steps. BuildingsBench processes 0.067 epochs over 900,000 buildings; we process approximately 9 epochs over 700 buildings. The total number of gradient updates is similar, but distributed very differently: each of our 700 buildings is seen roughly 3,300 times (across different window positions), while each BuildingsBench building contributes roughly 2–3 sampled training windows on average (18,000 × 128 / 900,000 ≈ 2.6). Unlike BuildingsBench’s sub-epoch regime, our small corpus is revisited multiple times. Three factors help mitigate overfitting from this high per-building exposure: (1) data augmentation (window jitter, Gaussian noise, and amplitude scaling) ensures that each exposure presents a different view of the training signal; (2) RevIN removes per-building magnitude information, preventing the model from memorizing absolute load levels; and (3) the high inter-building diversity of the LHS design ensures that patterns learned from any one building are also present, in varied form, in many others. The augmentation applied here was not included in the original BuildingsBench training pipeline; this asymmetry is discussed as a limitation in Section 5.4.</w:t>
      </w:r>
    </w:p>
    <w:bookmarkEnd w:id="18"/>
    <w:bookmarkStart w:id="19" w:name="evaluation-protocol"/>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3.4 Evaluation Protocol</w:t>
      </w:r>
    </w:p>
    <w:p>
      <w:pPr>
        <w:pStyle w:val="FirstParagraph"/>
        <w:spacing w:line="480" w:lineRule="auto" w:after="0" w:before="0"/>
      </w:pPr>
      <w:r>
        <w:rPr>
          <w:rFonts w:ascii="Times New Roman" w:hAnsi="Times New Roman" w:eastAsia="Times New Roman"/>
          <w:sz w:val="24"/>
        </w:rPr>
        <w:t xml:space="preserve">We follow the BuildingsBench test set, sliding-window construction, and aggregation metric without modification. The test set comprises 955 real load series: 611 from U.S. commercial buildings in the Building Data Genome Project 2 (BDG-2) [26], drawn from four university and government campuses (University of California Berkeley, Arizona State University, University of Central Florida, and Washington D.C.), and 344 from Portuguese electricity consumers in the Electricity dataset [27], with 15 out-of-vocabulary buildings excluded per the original specification. The evaluation set spans four distinct U.S. climate zones (Mediterranean, semi-arid desert, humid subtropical, and humid continental) plus Southern Europe, meaning our Korean-trained model is assessed against real load series climatically and geographically far from its Korean training distribution. Per-building NRMSE is computed as sqrt(MSE) / mean(actual) and aggregated by taking the median across buildings. We use the term NRMSE (Normalized Root Mean Squared Error) to match BuildingsBench’s convention; this is numerically identical to the Coefficient of Variation of RMSE (CVRMSE) when load values are non-negative, as is always the case for electricity consumption. The sliding window uses stride 24 hours, context 168 hours, and prediction horizon 24 hours.</w:t>
      </w:r>
    </w:p>
    <w:p>
      <w:pPr>
        <w:pStyle w:val="BodyText"/>
        <w:spacing w:line="480" w:lineRule="auto" w:after="0" w:before="0"/>
      </w:pPr>
      <w:r>
        <w:rPr>
          <w:rFonts w:ascii="Times New Roman" w:hAnsi="Times New Roman" w:eastAsia="Times New Roman"/>
          <w:sz w:val="24"/>
        </w:rPr>
        <w:t xml:space="preserve">We reproduced the BuildingsBench baseline (Transformer-M) result using the official checkpoint (torch 2.0.1, identical Box-Cox parameters) and obtained 13.27% NRMSE, confirming that our evaluation pipeline matches the original within 0.01 percentage points of the reported 13.28%.</w:t>
      </w:r>
    </w:p>
    <w:p>
      <w:pPr>
        <w:spacing w:line="480" w:lineRule="auto" w:after="0" w:before="0"/>
      </w:pPr>
      <w:r>
        <w:rPr>
          <w:rFonts w:ascii="Times New Roman" w:hAnsi="Times New Roman" w:eastAsia="Times New Roman"/>
          <w:sz w:val="24"/>
        </w:rPr>
        <w:pict>
          <v:rect style="width:0;height:1.5pt" o:hralign="center" o:hrstd="t" o:hr="t"/>
        </w:pict>
      </w:r>
    </w:p>
    <w:bookmarkEnd w:id="19"/>
    <w:bookmarkEnd w:id="20"/>
    <w:bookmarkStart w:id="25" w:name="experiments-and-results"/>
    <w:p>
      <w:pPr>
        <w:pStyle w:val="Heading2"/>
        <w:keepNext/>
        <w:spacing w:line="480" w:lineRule="auto" w:after="60" w:before="120"/>
      </w:pPr>
      <w:r>
        <w:rPr>
          <w:rFonts w:ascii="Times New Roman" w:hAnsi="Times New Roman" w:eastAsia="Times New Roman"/>
          <w:b/>
          <w:i w:val="0"/>
          <w:sz w:val="26"/>
        </w:rPr>
        <w:t xml:space="preserve">4. Experiments and Results</w:t>
      </w:r>
    </w:p>
    <w:bookmarkStart w:id="21" w:name="data-efficient-zero-shot-performance"/>
    <w:p>
      <w:pPr>
        <w:pStyle w:val="Heading3"/>
        <w:keepNext/>
        <w:spacing w:line="480" w:lineRule="auto" w:after="60" w:before="120"/>
      </w:pPr>
      <w:r>
        <w:rPr>
          <w:rFonts w:ascii="Times New Roman" w:hAnsi="Times New Roman" w:eastAsia="Times New Roman"/>
          <w:b/>
          <w:i w:val="0"/>
          <w:sz w:val="24"/>
        </w:rPr>
        <w:t xml:space="preserve">4.1 Data-Efficient Zero-Shot Performance</w:t>
      </w:r>
    </w:p>
    <w:p>
      <w:pPr>
        <w:pStyle w:val="FirstParagraph"/>
        <w:spacing w:line="480" w:lineRule="auto" w:after="0" w:before="0"/>
      </w:pPr>
      <w:r>
        <w:rPr>
          <w:rFonts w:ascii="Times New Roman" w:hAnsi="Times New Roman" w:eastAsia="Times New Roman"/>
          <w:sz w:val="24"/>
        </w:rPr>
        <w:t xml:space="preserve">Table 3 presents the primary comparison (visualized in Fig. 2). All models use the same 15.8M-parameter Transformer-M architecture and are evaluated on the identical 955-building test set with the same NRMSE computation.</w:t>
      </w:r>
    </w:p>
    <w:p>
      <w:pPr>
        <w:pStyle w:val="BodyText"/>
        <w:spacing w:line="240" w:lineRule="auto" w:after="40" w:before="240"/>
      </w:pPr>
      <w:r>
        <w:rPr>
          <w:rFonts w:ascii="Times New Roman" w:hAnsi="Times New Roman" w:eastAsia="Times New Roman"/>
          <w:b w:val="0"/>
          <w:bCs/>
          <w:sz w:val="22"/>
        </w:rPr>
        <w:t xml:space="preserve">Table 3.</w:t>
      </w:r>
      <w:r>
        <w:rPr>
          <w:rFonts w:ascii="Times New Roman" w:hAnsi="Times New Roman" w:eastAsia="Times New Roman"/>
          <w:b w:val="0"/>
          <w:sz w:val="22"/>
        </w:rPr>
        <w:t xml:space="preserve"> </w:t>
      </w:r>
      <w:r>
        <w:rPr>
          <w:rFonts w:ascii="Times New Roman" w:hAnsi="Times New Roman" w:eastAsia="Times New Roman"/>
          <w:b w:val="0"/>
          <w:sz w:val="22"/>
        </w:rPr>
        <w:t xml:space="preserve">Main results on the 955-building evaluation set (U.S. commercial buildings and Portuguese electricity consumers). Korean-700 (RevIN ON, aug) and US-TMY-700 (RevIN ON, aug) report five-seed mean ± std; Korean-700 (no aug, RevIN ON) and Korean-700 (RevIN OFF, aug) report three-seed mean ± std; all other rows use seed = 42. NCRPS (lower is better) measures probabilistic calibration in kWh scale. †BB-900K NCRPS unavailable due to Box-Cox protocol mismatch. BB-700 (aug-matched) is trained with identical optimizer, augmentation, and steps as Korean-700 to isolate the data-source effect.</w:t>
      </w:r>
    </w:p>
    <w:tbl>
      <w:tblPr>
        <w:tblStyle w:val="Table"/>
        <w:tblW w:type="pct" w:w="5000"/>
        <w:tblLayout w:type="autofit"/>
        <w:tblLook w:firstRow="1" w:lastRow="0" w:firstColumn="0" w:lastColumn="0" w:noHBand="0" w:noVBand="0" w:val="0020"/>
      </w:tblPr>
      <w:tblGrid>
        <w:gridCol w:w="894"/>
        <w:gridCol w:w="766"/>
        <w:gridCol w:w="894"/>
        <w:gridCol w:w="894"/>
        <w:gridCol w:w="638"/>
        <w:gridCol w:w="1405"/>
        <w:gridCol w:w="1405"/>
        <w:gridCol w:w="1021"/>
      </w:tblGrid>
      <w:tr>
        <w:trPr>
          <w:tblHeader w:val="on"/>
        </w:trPr>
        <w:tc>
          <w:tcPr>
            <w:tcMar>
              <w:left w:w="30" w:type="dxa"/>
              <w:right w:w="30" w:type="dxa"/>
            </w:tcMar>
          </w:tcPr>
          <w:p>
            <w:pPr>
              <w:pStyle w:val="Compact"/>
              <w:spacing w:line="240" w:lineRule="auto" w:after="20" w:before="0"/>
            </w:pPr>
            <w:r>
              <w:rPr>
                <w:rFonts w:ascii="Times New Roman" w:hAnsi="Times New Roman" w:eastAsia="Times New Roman"/>
                <w:sz w:val="18"/>
              </w:rPr>
              <w:t xml:space="preserve">Model</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Data</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RevIN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Aug</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NRMSE (%)</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NCRPS (%)</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Δ baseline</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BB-900K</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900K</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900,000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13.27</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BB+RevIN</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900K</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900,000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13.89</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7.76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+0.62</w:t>
            </w:r>
          </w:p>
        </w:tc>
      </w:tr>
      <w:tr>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K-700 (ours)</w:t>
            </w:r>
          </w:p>
        </w:tc>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b/>
                <w:bCs/>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13.11 ± 0.17</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7.14 ± 0.03</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−0.16</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K-700 no aug</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13.67 ± 0.21</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8.16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+0.40</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K-700 no RevIN</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14.72 ± 0.28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8.29</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+1.45</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 aug</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14.26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7.80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+0.99</w:t>
            </w:r>
          </w:p>
        </w:tc>
      </w:tr>
      <w:tr>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US-700 (ours)</w:t>
            </w:r>
          </w:p>
        </w:tc>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US TMY sim</w:t>
            </w:r>
          </w:p>
        </w:tc>
        <w:tc>
          <w:tcPr>
            <w:tcMar>
              <w:left w:w="30" w:type="dxa"/>
              <w:right w:w="30" w:type="dxa"/>
            </w:tcMar>
          </w:tcPr>
          <w:p>
            <w:pPr>
              <w:pStyle w:val="Compact"/>
              <w:spacing w:line="240" w:lineRule="auto" w:after="20" w:before="0"/>
              <w:jc w:val="right"/>
            </w:pPr>
            <w:r>
              <w:rPr>
                <w:rFonts w:ascii="Times New Roman" w:hAnsi="Times New Roman" w:eastAsia="Times New Roman"/>
                <w:b/>
                <w:bCs/>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13.64 ± 0.65</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7.53 ± 0.41</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+0.37</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15.28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+2.01</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 OFF</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16.44</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+3.17</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Persist.</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16.68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+3.41</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The central result is that 700 operationally diverse simulations are sufficient to reach the performance level of a 900,000-building benchmark on the same real-building evaluation set. Korean-700 achieves 13.11 ± 0.17% NRMSE (five-seed mean), numerically below the reproduced BB-900K baseline of 13.27%, with the best seed reaching 12.93%. Unlike BuildingsBench, which provides latitude and longitude embeddings as input features, all Korean-700 results set geographic coordinates to zero for both training and evaluation; this result is achieved not by adding metadata but by removing it. To our knowledge, no prior published work has demonstrated performance in this range using fewer than 1,000 training buildings on the BuildingsBench evaluation protocol. Korean-700 without augmentation (RevIN ON, three-seed mean) achieves 13.67%—0.40 pp above the baseline—showing that augmentation contributes 0.56 pp and is necessary to cross the benchmark threshold. Without RevIN, performance degrades further to 14.72 ± 0.28%, though still well below the Persistence Ensemble baseline (16.68%).</w:t>
      </w:r>
    </w:p>
    <w:p>
      <w:pPr>
        <w:pStyle w:val="BodyText"/>
        <w:spacing w:line="480" w:lineRule="auto" w:after="0" w:before="0"/>
      </w:pPr>
      <w:r>
        <w:rPr>
          <w:rFonts w:ascii="Times New Roman" w:hAnsi="Times New Roman" w:eastAsia="Times New Roman"/>
          <w:sz w:val="24"/>
        </w:rPr>
        <w:t xml:space="preserve">A paired per-building comparison provides additional statistical support. Using five-seed averaged per-building NRMSE, Korean-700 achieves lower error than BB-900K on 680 of 955 buildings (71%); the paired bootstrap 95% CI of the median per-building difference is [0.31, 0.39] pp in favor of Korean-700 (Wilcoxon signed-rank p &lt; 0.001). The advantage is robust across seeds, including the weakest seed (seed 45, aggregate 13.39%), which still favors Korean-700 on a majority of buildings (57%, p = 0.034). Per-seed confidence intervals and win rates are provided in the repository.</w:t>
      </w:r>
    </w:p>
    <w:p>
      <w:pPr>
        <w:pStyle w:val="BodyText"/>
        <w:spacing w:line="480" w:lineRule="auto" w:after="0" w:before="0"/>
      </w:pPr>
      <w:r>
        <w:rPr>
          <w:rFonts w:ascii="Times New Roman" w:hAnsi="Times New Roman" w:eastAsia="Times New Roman"/>
          <w:sz w:val="24"/>
        </w:rPr>
        <w:t xml:space="preserve">The BB-700 aug-matched control—the same architecture trained on 700 randomly sampled BuildingsBench buildings with matched augmentation—achieves 14.26% with RevIN, indicating that the data source matters independently of the normalization strategy. The BB-700 no-aug RevIN ON result of 15.28% and the BB-700 RevIN OFF no-aug result of 16.44% complete the no-augmentation branch of the factorial (an aug-matched BB-700 RevIN OFF experiment was not conducted; see Section 4.2). Augmentation contributes 1.02 pp to BB data (15.28% to 14.26%), yet even the aug-matched BB-700 trails Korean-700 by 1.15 pp—a gap that cannot be explained by augmentation alone.</w:t>
      </w:r>
    </w:p>
    <w:p>
      <w:pPr>
        <w:pStyle w:val="BodyText"/>
        <w:spacing w:line="480" w:lineRule="auto" w:after="0" w:before="0"/>
      </w:pPr>
      <w:r>
        <w:rPr>
          <w:rFonts w:ascii="Times New Roman" w:hAnsi="Times New Roman" w:eastAsia="Times New Roman"/>
          <w:sz w:val="24"/>
        </w:rPr>
        <w:t xml:space="preserve">In these experiments, RevIN improves both 700-building models (Korean-700: −1.61 pp; BB-700: −1.16 pp) but degrades the BB-900K retraining run (+0.62 pp, from 13.27% to 13.89%). The only modification to the original BuildingsBench pipeline was adding RevIN pre/post-processing (Appendix A.4). The mechanism behind this asymmetry is examined in Section 5.1.</w:t>
      </w:r>
    </w:p>
    <w:bookmarkEnd w:id="21"/>
    <w:bookmarkStart w:id="22" w:name="decomposing-the-improvement"/>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4.2 Decomposing the Improvement</w:t>
      </w:r>
    </w:p>
    <w:p>
      <w:pPr>
        <w:pStyle w:val="FirstParagraph"/>
        <w:spacing w:line="480" w:lineRule="auto" w:after="0" w:before="0"/>
      </w:pPr>
      <w:r>
        <w:rPr>
          <w:rFonts w:ascii="Times New Roman" w:hAnsi="Times New Roman" w:eastAsia="Times New Roman"/>
          <w:sz w:val="24"/>
        </w:rPr>
        <w:t xml:space="preserve">The augmentation-controlled factorial (Korean vs. BB data, RevIN ON, both at n = 700) isolates the data-source effect. Across both augmentation conditions, Korean-700 consistently outperforms matched BB-700 controls by 1.15–1.61 pp (Table 3), indicating that the gain is not an augmentation artifact. The gap is larger without augmentation (1.61 pp) and remains substantial when augmentation is matched (1.15 pp). Augmentation itself contributes 0.56 pp to Korean-700 and 1.02 pp to BB-700, but cannot close the data-source gap.</w:t>
      </w:r>
    </w:p>
    <w:p>
      <w:pPr>
        <w:pStyle w:val="BodyText"/>
        <w:spacing w:line="480" w:lineRule="auto" w:after="0" w:before="0"/>
      </w:pPr>
      <w:r>
        <w:rPr>
          <w:rFonts w:ascii="Times New Roman" w:hAnsi="Times New Roman" w:eastAsia="Times New Roman"/>
          <w:sz w:val="24"/>
        </w:rPr>
        <w:t xml:space="preserve">An aug-matched BB-700 RevIN OFF experiment was not conducted; the estimated augmentation-corrected gap is approximately 0.70 pp, though this assumes augmentation effects are independent of the RevIN condition. The primary evidence for data-source advantage rests on both augmentation conditions pointing consistently to data design as a major contributor.</w:t>
      </w:r>
    </w:p>
    <w:p>
      <w:pPr>
        <w:pStyle w:val="BodyText"/>
        <w:spacing w:line="480" w:lineRule="auto" w:after="0" w:before="0"/>
      </w:pPr>
      <w:r>
        <w:rPr>
          <w:rFonts w:ascii="Times New Roman" w:hAnsi="Times New Roman" w:eastAsia="Times New Roman"/>
          <w:sz w:val="24"/>
        </w:rPr>
        <w:t xml:space="preserve">To isolate schedule diversity from climate effects, we retrained on the same 700 LHS-designed buildings using U.S. TMY weather files (Seoul → Washington DC, Busan → Atlanta, Daegu → Charlotte, Gangneung → Boston, Jeju → Miami; ASHRAE climate zones matched where possible). The five-seed mean of the U.S.-TMY-700 model is 13.64 ± 0.65% (seeds 42–46: 13.15%, 13.35%, 13.22%, 14.72%, 13.78%), within 0.53 pp of Korean-700 (13.11 ± 0.17%). The best seed (13.15%) falls within Korean-700 seed variability, while the five-seed mean is 0.37 pp above the BB-900K baseline. The higher variance (0.65% vs. 0.17%) suggests that U.S. weather introduces additional seed sensitivity. Nevertheless, the U.S.-TMY model still outperforms the matched BB-700 baseline (14.26%) by 0.62 pp, indicating that LHS-designed schedule diversity contributes substantially beyond climate origin alone, while weather choice still affects transfer stability.</w:t>
      </w:r>
    </w:p>
    <w:bookmarkEnd w:id="22"/>
    <w:bookmarkStart w:id="23" w:name="n-scaling-analysi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4.3 N-Scaling Analysis</w:t>
      </w:r>
    </w:p>
    <w:p>
      <w:pPr>
        <w:pStyle w:val="FirstParagraph"/>
        <w:spacing w:line="480" w:lineRule="auto" w:after="0" w:before="0"/>
      </w:pPr>
      <w:r>
        <w:rPr>
          <w:rFonts w:ascii="Times New Roman" w:hAnsi="Times New Roman" w:eastAsia="Times New Roman"/>
          <w:sz w:val="24"/>
        </w:rPr>
        <w:t xml:space="preserve">Table 4 and Fig. 3 show how NRMSE varies with the number of buildings per archetype (n), where total buildings = 14n. All runs use the M-size model with RevIN on and a fixed training budget of 18,000 steps.</w:t>
      </w:r>
    </w:p>
    <w:p>
      <w:pPr>
        <w:pStyle w:val="BodyText"/>
        <w:spacing w:line="240" w:lineRule="auto" w:after="40" w:before="240"/>
      </w:pPr>
      <w:r>
        <w:rPr>
          <w:rFonts w:ascii="Times New Roman" w:hAnsi="Times New Roman" w:eastAsia="Times New Roman"/>
          <w:b w:val="0"/>
          <w:bCs/>
          <w:sz w:val="22"/>
        </w:rPr>
        <w:t xml:space="preserve">Table 4.</w:t>
      </w:r>
      <w:r>
        <w:rPr>
          <w:rFonts w:ascii="Times New Roman" w:hAnsi="Times New Roman" w:eastAsia="Times New Roman"/>
          <w:b w:val="0"/>
          <w:sz w:val="22"/>
        </w:rPr>
        <w:t xml:space="preserve"> </w:t>
      </w:r>
      <w:r>
        <w:rPr>
          <w:rFonts w:ascii="Times New Roman" w:hAnsi="Times New Roman" w:eastAsia="Times New Roman"/>
          <w:b w:val="0"/>
          <w:sz w:val="22"/>
        </w:rPr>
        <w:t xml:space="preserve">N-scaling results (Transformer-M, RevIN ON, aug ON, s = 18,000 steps, seed = 42). Exception: n = 5 reports five-seed mean ± std (13.28 ± 0.12%). The n = 50 entry reports the seed-42 value (12.93%), corresponding to the best seed in Table 3; the five-seed mean for n = 50 is 13.11 ± 0.17%. Fig. 3 plots all 17 points including intermediate values not listed here.</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jc w:val="center"/>
            </w:pPr>
            <w:r>
              <w:rPr>
                <w:rFonts w:ascii="Times New Roman" w:hAnsi="Times New Roman" w:eastAsia="Times New Roman"/>
                <w:sz w:val="20"/>
              </w:rPr>
              <w:t xml:space="preserve">n</w:t>
            </w:r>
          </w:p>
        </w:tc>
        <w:tc>
          <w:tcPr/>
          <w:p>
            <w:pPr>
              <w:pStyle w:val="Compact"/>
              <w:spacing w:line="240" w:lineRule="auto" w:after="20" w:before="0"/>
              <w:jc w:val="center"/>
            </w:pPr>
            <w:r>
              <w:rPr>
                <w:rFonts w:ascii="Times New Roman" w:hAnsi="Times New Roman" w:eastAsia="Times New Roman"/>
                <w:sz w:val="20"/>
              </w:rPr>
              <w:t xml:space="preserve">Total Buildings</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Δ baseline</w:t>
            </w:r>
          </w:p>
        </w:tc>
      </w:tr>
      <w:tr>
        <w:tc>
          <w:tcPr/>
          <w:p>
            <w:pPr>
              <w:pStyle w:val="Compact"/>
              <w:spacing w:line="240" w:lineRule="auto" w:after="20" w:before="0"/>
              <w:jc w:val="center"/>
            </w:pPr>
            <w:r>
              <w:rPr>
                <w:rFonts w:ascii="Times New Roman" w:hAnsi="Times New Roman" w:eastAsia="Times New Roman"/>
                <w:sz w:val="20"/>
              </w:rPr>
              <w:t xml:space="preserve">1</w:t>
            </w:r>
          </w:p>
        </w:tc>
        <w:tc>
          <w:tcPr/>
          <w:p>
            <w:pPr>
              <w:pStyle w:val="Compact"/>
              <w:spacing w:line="240" w:lineRule="auto" w:after="20" w:before="0"/>
              <w:jc w:val="center"/>
            </w:pPr>
            <w:r>
              <w:rPr>
                <w:rFonts w:ascii="Times New Roman" w:hAnsi="Times New Roman" w:eastAsia="Times New Roman"/>
                <w:sz w:val="20"/>
              </w:rPr>
              <w:t xml:space="preserve">14</w:t>
            </w:r>
          </w:p>
        </w:tc>
        <w:tc>
          <w:tcPr/>
          <w:p>
            <w:pPr>
              <w:pStyle w:val="Compact"/>
              <w:spacing w:line="240" w:lineRule="auto" w:after="20" w:before="0"/>
              <w:jc w:val="center"/>
            </w:pPr>
            <w:r>
              <w:rPr>
                <w:rFonts w:ascii="Times New Roman" w:hAnsi="Times New Roman" w:eastAsia="Times New Roman"/>
                <w:sz w:val="20"/>
              </w:rPr>
              <w:t xml:space="preserve">14.72</w:t>
            </w:r>
          </w:p>
        </w:tc>
        <w:tc>
          <w:tcPr/>
          <w:p>
            <w:pPr>
              <w:pStyle w:val="Compact"/>
              <w:spacing w:line="240" w:lineRule="auto" w:after="20" w:before="0"/>
              <w:jc w:val="center"/>
            </w:pPr>
            <w:r>
              <w:rPr>
                <w:rFonts w:ascii="Times New Roman" w:hAnsi="Times New Roman" w:eastAsia="Times New Roman"/>
                <w:sz w:val="20"/>
              </w:rPr>
              <w:t xml:space="preserve">+1.45</w:t>
            </w:r>
          </w:p>
        </w:tc>
      </w:tr>
      <w:tr>
        <w:tc>
          <w:tcPr/>
          <w:p>
            <w:pPr>
              <w:pStyle w:val="Compact"/>
              <w:spacing w:line="240" w:lineRule="auto" w:after="20" w:before="0"/>
              <w:jc w:val="center"/>
            </w:pPr>
            <w:r>
              <w:rPr>
                <w:rFonts w:ascii="Times New Roman" w:hAnsi="Times New Roman" w:eastAsia="Times New Roman"/>
                <w:sz w:val="20"/>
              </w:rPr>
              <w:t xml:space="preserve">3</w:t>
            </w:r>
          </w:p>
        </w:tc>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13.47</w:t>
            </w:r>
          </w:p>
        </w:tc>
        <w:tc>
          <w:tcPr/>
          <w:p>
            <w:pPr>
              <w:pStyle w:val="Compact"/>
              <w:spacing w:line="240" w:lineRule="auto" w:after="20" w:before="0"/>
              <w:jc w:val="center"/>
            </w:pPr>
            <w:r>
              <w:rPr>
                <w:rFonts w:ascii="Times New Roman" w:hAnsi="Times New Roman" w:eastAsia="Times New Roman"/>
                <w:sz w:val="20"/>
              </w:rPr>
              <w:t xml:space="preserve">+0.20</w:t>
            </w:r>
          </w:p>
        </w:tc>
      </w:tr>
      <w:tr>
        <w:tc>
          <w:tcPr/>
          <w:p>
            <w:pPr>
              <w:pStyle w:val="Compact"/>
              <w:spacing w:line="240" w:lineRule="auto" w:after="20" w:before="0"/>
              <w:jc w:val="center"/>
            </w:pPr>
            <w:r>
              <w:rPr>
                <w:rFonts w:ascii="Times New Roman" w:hAnsi="Times New Roman" w:eastAsia="Times New Roman"/>
                <w:sz w:val="20"/>
              </w:rPr>
              <w:t xml:space="preserve">5</w:t>
            </w:r>
          </w:p>
        </w:tc>
        <w:tc>
          <w:tcPr/>
          <w:p>
            <w:pPr>
              <w:pStyle w:val="Compact"/>
              <w:spacing w:line="240" w:lineRule="auto" w:after="20" w:before="0"/>
              <w:jc w:val="center"/>
            </w:pPr>
            <w:r>
              <w:rPr>
                <w:rFonts w:ascii="Times New Roman" w:hAnsi="Times New Roman" w:eastAsia="Times New Roman"/>
                <w:sz w:val="20"/>
              </w:rPr>
              <w:t xml:space="preserve">70</w:t>
            </w:r>
          </w:p>
        </w:tc>
        <w:tc>
          <w:tcPr/>
          <w:p>
            <w:pPr>
              <w:pStyle w:val="Compact"/>
              <w:spacing w:line="240" w:lineRule="auto" w:after="20" w:before="0"/>
              <w:jc w:val="center"/>
            </w:pPr>
            <w:r>
              <w:rPr>
                <w:rFonts w:ascii="Times New Roman" w:hAnsi="Times New Roman" w:eastAsia="Times New Roman"/>
                <w:sz w:val="20"/>
              </w:rPr>
              <w:t xml:space="preserve">13.28 ± 0.12</w:t>
            </w:r>
          </w:p>
        </w:tc>
        <w:tc>
          <w:tcPr/>
          <w:p>
            <w:pPr>
              <w:pStyle w:val="Compact"/>
              <w:spacing w:line="240" w:lineRule="auto" w:after="20" w:before="0"/>
              <w:jc w:val="center"/>
            </w:pPr>
            <w:r>
              <w:rPr>
                <w:rFonts w:ascii="Times New Roman" w:hAnsi="Times New Roman" w:eastAsia="Times New Roman"/>
                <w:sz w:val="20"/>
              </w:rPr>
              <w:t xml:space="preserve">+0.01</w:t>
            </w:r>
          </w:p>
        </w:tc>
      </w:tr>
      <w:tr>
        <w:tc>
          <w:tcPr/>
          <w:p>
            <w:pPr>
              <w:pStyle w:val="Compact"/>
              <w:spacing w:line="240" w:lineRule="auto" w:after="20" w:before="0"/>
              <w:jc w:val="center"/>
            </w:pPr>
            <w:r>
              <w:rPr>
                <w:rFonts w:ascii="Times New Roman" w:hAnsi="Times New Roman" w:eastAsia="Times New Roman"/>
                <w:sz w:val="20"/>
              </w:rPr>
              <w:t xml:space="preserve">10</w:t>
            </w:r>
          </w:p>
        </w:tc>
        <w:tc>
          <w:tcPr/>
          <w:p>
            <w:pPr>
              <w:pStyle w:val="Compact"/>
              <w:spacing w:line="240" w:lineRule="auto" w:after="20" w:before="0"/>
              <w:jc w:val="center"/>
            </w:pPr>
            <w:r>
              <w:rPr>
                <w:rFonts w:ascii="Times New Roman" w:hAnsi="Times New Roman" w:eastAsia="Times New Roman"/>
                <w:sz w:val="20"/>
              </w:rPr>
              <w:t xml:space="preserve">140</w:t>
            </w:r>
          </w:p>
        </w:tc>
        <w:tc>
          <w:tcPr/>
          <w:p>
            <w:pPr>
              <w:pStyle w:val="Compact"/>
              <w:spacing w:line="240" w:lineRule="auto" w:after="20" w:before="0"/>
              <w:jc w:val="center"/>
            </w:pPr>
            <w:r>
              <w:rPr>
                <w:rFonts w:ascii="Times New Roman" w:hAnsi="Times New Roman" w:eastAsia="Times New Roman"/>
                <w:sz w:val="20"/>
              </w:rPr>
              <w:t xml:space="preserve">13.18</w:t>
            </w:r>
          </w:p>
        </w:tc>
        <w:tc>
          <w:tcPr/>
          <w:p>
            <w:pPr>
              <w:pStyle w:val="Compact"/>
              <w:spacing w:line="240" w:lineRule="auto" w:after="20" w:before="0"/>
              <w:jc w:val="center"/>
            </w:pPr>
            <w:r>
              <w:rPr>
                <w:rFonts w:ascii="Times New Roman" w:hAnsi="Times New Roman" w:eastAsia="Times New Roman"/>
                <w:sz w:val="20"/>
              </w:rPr>
              <w:t xml:space="preserve">-0.09</w:t>
            </w:r>
          </w:p>
        </w:tc>
      </w:tr>
      <w:tr>
        <w:tc>
          <w:tcPr/>
          <w:p>
            <w:pPr>
              <w:pStyle w:val="Compact"/>
              <w:spacing w:line="240" w:lineRule="auto" w:after="20" w:before="0"/>
              <w:jc w:val="center"/>
            </w:pPr>
            <w:r>
              <w:rPr>
                <w:rFonts w:ascii="Times New Roman" w:hAnsi="Times New Roman" w:eastAsia="Times New Roman"/>
                <w:sz w:val="20"/>
              </w:rPr>
              <w:t xml:space="preserve">20</w:t>
            </w:r>
          </w:p>
        </w:tc>
        <w:tc>
          <w:tcPr/>
          <w:p>
            <w:pPr>
              <w:pStyle w:val="Compact"/>
              <w:spacing w:line="240" w:lineRule="auto" w:after="20" w:before="0"/>
              <w:jc w:val="center"/>
            </w:pPr>
            <w:r>
              <w:rPr>
                <w:rFonts w:ascii="Times New Roman" w:hAnsi="Times New Roman" w:eastAsia="Times New Roman"/>
                <w:sz w:val="20"/>
              </w:rPr>
              <w:t xml:space="preserve">280</w:t>
            </w:r>
          </w:p>
        </w:tc>
        <w:tc>
          <w:tcPr/>
          <w:p>
            <w:pPr>
              <w:pStyle w:val="Compact"/>
              <w:spacing w:line="240" w:lineRule="auto" w:after="20" w:before="0"/>
              <w:jc w:val="center"/>
            </w:pPr>
            <w:r>
              <w:rPr>
                <w:rFonts w:ascii="Times New Roman" w:hAnsi="Times New Roman" w:eastAsia="Times New Roman"/>
                <w:sz w:val="20"/>
              </w:rPr>
              <w:t xml:space="preserve">13.23</w:t>
            </w:r>
          </w:p>
        </w:tc>
        <w:tc>
          <w:tcPr/>
          <w:p>
            <w:pPr>
              <w:pStyle w:val="Compact"/>
              <w:spacing w:line="240" w:lineRule="auto" w:after="20" w:before="0"/>
              <w:jc w:val="center"/>
            </w:pPr>
            <w:r>
              <w:rPr>
                <w:rFonts w:ascii="Times New Roman" w:hAnsi="Times New Roman" w:eastAsia="Times New Roman"/>
                <w:sz w:val="20"/>
              </w:rPr>
              <w:t xml:space="preserve">-0.04</w:t>
            </w:r>
          </w:p>
        </w:tc>
      </w:tr>
      <w:tr>
        <w:tc>
          <w:tcPr/>
          <w:p>
            <w:pPr>
              <w:pStyle w:val="Compact"/>
              <w:spacing w:line="240" w:lineRule="auto" w:after="20" w:before="0"/>
              <w:jc w:val="center"/>
            </w:pPr>
            <w:r>
              <w:rPr>
                <w:rFonts w:ascii="Times New Roman" w:hAnsi="Times New Roman" w:eastAsia="Times New Roman"/>
                <w:sz w:val="20"/>
              </w:rPr>
              <w:t xml:space="preserve">50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-0.34</w:t>
            </w:r>
          </w:p>
        </w:tc>
      </w:tr>
      <w:tr>
        <w:tc>
          <w:tcPr/>
          <w:p>
            <w:pPr>
              <w:pStyle w:val="Compact"/>
              <w:spacing w:line="240" w:lineRule="auto" w:after="20" w:before="0"/>
              <w:jc w:val="center"/>
            </w:pPr>
            <w:r>
              <w:rPr>
                <w:rFonts w:ascii="Times New Roman" w:hAnsi="Times New Roman" w:eastAsia="Times New Roman"/>
                <w:sz w:val="20"/>
              </w:rPr>
              <w:t xml:space="preserve">70</w:t>
            </w:r>
          </w:p>
        </w:tc>
        <w:tc>
          <w:tcPr/>
          <w:p>
            <w:pPr>
              <w:pStyle w:val="Compact"/>
              <w:spacing w:line="240" w:lineRule="auto" w:after="20" w:before="0"/>
              <w:jc w:val="center"/>
            </w:pPr>
            <w:r>
              <w:rPr>
                <w:rFonts w:ascii="Times New Roman" w:hAnsi="Times New Roman" w:eastAsia="Times New Roman"/>
                <w:sz w:val="20"/>
              </w:rPr>
              <w:t xml:space="preserve">980</w:t>
            </w:r>
          </w:p>
        </w:tc>
        <w:tc>
          <w:tcPr/>
          <w:p>
            <w:pPr>
              <w:pStyle w:val="Compact"/>
              <w:spacing w:line="240" w:lineRule="auto" w:after="20" w:before="0"/>
              <w:jc w:val="center"/>
            </w:pPr>
            <w:r>
              <w:rPr>
                <w:rFonts w:ascii="Times New Roman" w:hAnsi="Times New Roman" w:eastAsia="Times New Roman"/>
                <w:sz w:val="20"/>
              </w:rPr>
              <w:t xml:space="preserve">13.20</w:t>
            </w:r>
          </w:p>
        </w:tc>
        <w:tc>
          <w:tcPr/>
          <w:p>
            <w:pPr>
              <w:pStyle w:val="Compact"/>
              <w:spacing w:line="240" w:lineRule="auto" w:after="20" w:before="0"/>
              <w:jc w:val="center"/>
            </w:pPr>
            <w:r>
              <w:rPr>
                <w:rFonts w:ascii="Times New Roman" w:hAnsi="Times New Roman" w:eastAsia="Times New Roman"/>
                <w:sz w:val="20"/>
              </w:rPr>
              <w:t xml:space="preserve">-0.07</w:t>
            </w:r>
          </w:p>
        </w:tc>
      </w:tr>
      <w:tr>
        <w:tc>
          <w:tcPr/>
          <w:p>
            <w:pPr>
              <w:pStyle w:val="Compact"/>
              <w:spacing w:line="240" w:lineRule="auto" w:after="20" w:before="0"/>
              <w:jc w:val="center"/>
            </w:pPr>
            <w:r>
              <w:rPr>
                <w:rFonts w:ascii="Times New Roman" w:hAnsi="Times New Roman" w:eastAsia="Times New Roman"/>
                <w:sz w:val="20"/>
              </w:rPr>
              <w:t xml:space="preserve">80</w:t>
            </w:r>
          </w:p>
        </w:tc>
        <w:tc>
          <w:tcPr/>
          <w:p>
            <w:pPr>
              <w:pStyle w:val="Compact"/>
              <w:spacing w:line="240" w:lineRule="auto" w:after="20" w:before="0"/>
              <w:jc w:val="center"/>
            </w:pPr>
            <w:r>
              <w:rPr>
                <w:rFonts w:ascii="Times New Roman" w:hAnsi="Times New Roman" w:eastAsia="Times New Roman"/>
                <w:sz w:val="20"/>
              </w:rPr>
              <w:t xml:space="preserve">1,120</w:t>
            </w:r>
          </w:p>
        </w:tc>
        <w:tc>
          <w:tcPr/>
          <w:p>
            <w:pPr>
              <w:pStyle w:val="Compact"/>
              <w:spacing w:line="240" w:lineRule="auto" w:after="20" w:before="0"/>
              <w:jc w:val="center"/>
            </w:pPr>
            <w:r>
              <w:rPr>
                <w:rFonts w:ascii="Times New Roman" w:hAnsi="Times New Roman" w:eastAsia="Times New Roman"/>
                <w:sz w:val="20"/>
              </w:rPr>
              <w:t xml:space="preserve">13.15</w:t>
            </w:r>
          </w:p>
        </w:tc>
        <w:tc>
          <w:tcPr/>
          <w:p>
            <w:pPr>
              <w:pStyle w:val="Compact"/>
              <w:spacing w:line="240" w:lineRule="auto" w:after="20" w:before="0"/>
              <w:jc w:val="center"/>
            </w:pPr>
            <w:r>
              <w:rPr>
                <w:rFonts w:ascii="Times New Roman" w:hAnsi="Times New Roman" w:eastAsia="Times New Roman"/>
                <w:sz w:val="20"/>
              </w:rPr>
              <w:t xml:space="preserve">-0.12</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Performance improves sharply from n = 1 to n = 5 (14.72% seed-42 single run to 13.28% five-seed mean). By n = 3 (42 buildings), performance reaches 13.47%, within 0.20 pp of the baseline. At n = 5 (70 buildings), the five-seed mean of 13.28 ± 0.12% matches the BB-900K baseline (13.27%) within 0.01 pp. Beyond n = 5, gains become incremental on the single-seed curve—additional buildings yield fluctuations within ±0.15 pp rather than systematic improvement.</w:t>
      </w:r>
    </w:p>
    <w:p>
      <w:pPr>
        <w:pStyle w:val="BodyText"/>
        <w:spacing w:line="480" w:lineRule="auto" w:after="0" w:before="0"/>
      </w:pPr>
      <w:r>
        <w:rPr>
          <w:rFonts w:ascii="Times New Roman" w:hAnsi="Times New Roman" w:eastAsia="Times New Roman"/>
          <w:sz w:val="24"/>
        </w:rPr>
        <w:t xml:space="preserve">The n = 5 multi-seed result (13.28 ± 0.12%) confirms that the 70-building result is not a single-seed artifact. The n = 50 five-seed mean (13.11 ± 0.17%) further improves over n = 5 (13.28 ± 0.12%) by 0.17 pp, indicating that gains remain detectable through n = 50 when averaged across multiple seeds; however, the single-seed curve shows high variance in this range (±0.15 pp), so individual runs may not consistently reflect this improvement. The scaling behavior is qualitatively different from the monotonic improvement typically assumed in large-scale pretraining. The observed curve suggests diminishing returns under the current LHS design and fixed training budget.</w:t>
      </w:r>
    </w:p>
    <w:p>
      <w:pPr>
        <w:pStyle w:val="BodyText"/>
        <w:spacing w:line="480" w:lineRule="auto" w:after="0" w:before="0"/>
      </w:pPr>
      <w:r>
        <w:rPr>
          <w:rFonts w:ascii="Times New Roman" w:hAnsi="Times New Roman" w:eastAsia="Times New Roman"/>
          <w:sz w:val="24"/>
        </w:rPr>
        <w:t xml:space="preserve">The BB scaling experiment (BB-700 vs. BB-7K, Appendix B) shows the same saturation from the other direction: increasing from 700 to 7,000 randomly sampled BuildingsBench buildings improves performance but remains well above Korean-700 (BB-700 no-aug: 15.28% RevIN ON / 16.44% OFF; BB-7K no-aug: 14.50% RevIN ON / 15.41% OFF). Even with augmentation, BB-700 reaches only 14.26%—1.15 pp above Korean-700—indicating that additional stock-model samples alone do not close the gap.</w:t>
      </w:r>
    </w:p>
    <w:bookmarkEnd w:id="23"/>
    <w:bookmarkStart w:id="24" w:name="ablation-studie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4.4 Ablation Studies</w:t>
      </w:r>
    </w:p>
    <w:p>
      <w:pPr>
        <w:pStyle w:val="FirstParagraph"/>
        <w:spacing w:line="480" w:lineRule="auto" w:after="0" w:before="0"/>
      </w:pPr>
      <w:r>
        <w:rPr>
          <w:rFonts w:ascii="Times New Roman" w:hAnsi="Times New Roman" w:eastAsia="Times New Roman"/>
          <w:sz w:val="24"/>
        </w:rPr>
        <w:t xml:space="preserve">Table 5 reports the two ablations conducted under the unified evaluation protocol (Section 3.4).</w:t>
      </w:r>
    </w:p>
    <w:p>
      <w:pPr>
        <w:pStyle w:val="BodyText"/>
        <w:spacing w:line="240" w:lineRule="auto" w:after="40" w:before="240"/>
      </w:pPr>
      <w:r>
        <w:rPr>
          <w:rFonts w:ascii="Times New Roman" w:hAnsi="Times New Roman" w:eastAsia="Times New Roman"/>
          <w:b w:val="0"/>
          <w:bCs/>
          <w:sz w:val="22"/>
        </w:rPr>
        <w:t xml:space="preserve">Table 5.</w:t>
      </w:r>
      <w:r>
        <w:rPr>
          <w:rFonts w:ascii="Times New Roman" w:hAnsi="Times New Roman" w:eastAsia="Times New Roman"/>
          <w:b w:val="0"/>
          <w:sz w:val="22"/>
        </w:rPr>
        <w:t xml:space="preserve"> </w:t>
      </w:r>
      <w:r>
        <w:rPr>
          <w:rFonts w:ascii="Times New Roman" w:hAnsi="Times New Roman" w:eastAsia="Times New Roman"/>
          <w:b w:val="0"/>
          <w:sz w:val="22"/>
        </w:rPr>
        <w:t xml:space="preserve">Ablation results (val_best checkpoint, 955 buildings). Baseline: seed = 42 (12.93%). RevIN OFF reports three-seed mean, seeds 42–44 (Appendix A.2); the +1.79 pp delta therefore mixes a single-seed baseline with a three-seed mean (five-seed comparison: +1.61 pp, Section 4.2). Appendix C reports four additional ablations from an earlier evaluation pipeline.</w:t>
      </w:r>
    </w:p>
    <w:tbl>
      <w:tblPr>
        <w:tblStyle w:val="Table"/>
        <w:tblW w:type="pct" w:w="5000"/>
        <w:tblLayout w:type="autofit"/>
        <w:tblLook w:firstRow="1" w:lastRow="0" w:firstColumn="0" w:lastColumn="0" w:noHBand="0" w:noVBand="0" w:val="0020"/>
      </w:tblPr>
      <w:tblGrid>
        <w:gridCol w:w="2022"/>
        <w:gridCol w:w="2022"/>
        <w:gridCol w:w="1179"/>
        <w:gridCol w:w="2696"/>
      </w:tblGrid>
      <w:tr>
        <w:trPr>
          <w:tblHeader w:val="on"/>
        </w:trPr>
        <w:tc>
          <w:tcPr/>
          <w:p>
            <w:pPr>
              <w:pStyle w:val="Compact"/>
              <w:spacing w:line="240" w:lineRule="auto" w:after="20" w:before="0"/>
            </w:pPr>
            <w:r>
              <w:rPr>
                <w:rFonts w:ascii="Times New Roman" w:hAnsi="Times New Roman" w:eastAsia="Times New Roman"/>
                <w:sz w:val="20"/>
              </w:rPr>
              <w:t xml:space="preserve">Experiment</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Delta</w:t>
            </w:r>
          </w:p>
        </w:tc>
        <w:tc>
          <w:tcPr/>
          <w:p>
            <w:pPr>
              <w:pStyle w:val="Compact"/>
              <w:spacing w:line="240" w:lineRule="auto" w:after="20" w:before="0"/>
            </w:pPr>
            <w:r>
              <w:rPr>
                <w:rFonts w:ascii="Times New Roman" w:hAnsi="Times New Roman" w:eastAsia="Times New Roman"/>
                <w:sz w:val="20"/>
              </w:rPr>
              <w:t xml:space="preserve">Interpretation</w:t>
            </w:r>
          </w:p>
        </w:tc>
      </w:tr>
      <w:tr>
        <w:tc>
          <w:tcPr/>
          <w:p>
            <w:pPr>
              <w:pStyle w:val="Compact"/>
              <w:spacing w:line="240" w:lineRule="auto" w:after="20" w:before="0"/>
            </w:pPr>
            <w:r>
              <w:rPr>
                <w:rFonts w:ascii="Times New Roman" w:hAnsi="Times New Roman" w:eastAsia="Times New Roman"/>
                <w:sz w:val="20"/>
              </w:rPr>
              <w:t xml:space="preserve">Korean-700 RevIN ON (baseline)</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w:t>
            </w:r>
          </w:p>
        </w:tc>
        <w:tc>
          <w:tcPr/>
          <w:p>
            <w:pPr>
              <w:pStyle w:val="Compact"/>
              <w:spacing w:line="240" w:lineRule="auto" w:after="20" w:before="0"/>
            </w:pPr>
            <w:r>
              <w:rPr>
                <w:rFonts w:ascii="Times New Roman" w:hAnsi="Times New Roman" w:eastAsia="Times New Roman"/>
                <w:sz w:val="20"/>
              </w:rPr>
              <w:t xml:space="preserve">Best configuration (seed 42, lat/lon = zero)</w:t>
            </w:r>
          </w:p>
        </w:tc>
      </w:tr>
      <w:tr>
        <w:tc>
          <w:tcPr/>
          <w:p>
            <w:pPr>
              <w:pStyle w:val="Compact"/>
              <w:spacing w:line="240" w:lineRule="auto" w:after="20" w:before="0"/>
            </w:pPr>
            <w:r>
              <w:rPr>
                <w:rFonts w:ascii="Times New Roman" w:hAnsi="Times New Roman" w:eastAsia="Times New Roman"/>
                <w:sz w:val="20"/>
              </w:rPr>
              <w:t xml:space="preserve">RevIN OFF (3-seed mean)</w:t>
            </w:r>
          </w:p>
        </w:tc>
        <w:tc>
          <w:tcPr/>
          <w:p>
            <w:pPr>
              <w:pStyle w:val="Compact"/>
              <w:spacing w:line="240" w:lineRule="auto" w:after="20" w:before="0"/>
              <w:jc w:val="center"/>
            </w:pPr>
            <w:r>
              <w:rPr>
                <w:rFonts w:ascii="Times New Roman" w:hAnsi="Times New Roman" w:eastAsia="Times New Roman"/>
                <w:sz w:val="20"/>
              </w:rPr>
              <w:t xml:space="preserve">14.72</w:t>
            </w:r>
          </w:p>
        </w:tc>
        <w:tc>
          <w:tcPr/>
          <w:p>
            <w:pPr>
              <w:pStyle w:val="Compact"/>
              <w:spacing w:line="240" w:lineRule="auto" w:after="20" w:before="0"/>
              <w:jc w:val="center"/>
            </w:pPr>
            <w:r>
              <w:rPr>
                <w:rFonts w:ascii="Times New Roman" w:hAnsi="Times New Roman" w:eastAsia="Times New Roman"/>
                <w:sz w:val="20"/>
              </w:rPr>
              <w:t xml:space="preserve">+1.79</w:t>
            </w:r>
          </w:p>
        </w:tc>
        <w:tc>
          <w:tcPr/>
          <w:p>
            <w:pPr>
              <w:pStyle w:val="Compact"/>
              <w:spacing w:line="240" w:lineRule="auto" w:after="20" w:before="0"/>
            </w:pPr>
            <w:r>
              <w:rPr>
                <w:rFonts w:ascii="Times New Roman" w:hAnsi="Times New Roman" w:eastAsia="Times New Roman"/>
                <w:sz w:val="20"/>
              </w:rPr>
              <w:t xml:space="preserve">RevIN contributes 1.79 pp (1.61 pp over five-seed means)</w:t>
            </w:r>
          </w:p>
        </w:tc>
      </w:tr>
      <w:tr>
        <w:tc>
          <w:tcPr/>
          <w:p>
            <w:pPr>
              <w:pStyle w:val="Compact"/>
              <w:spacing w:line="240" w:lineRule="auto" w:after="20" w:before="0"/>
            </w:pPr>
            <w:r>
              <w:rPr>
                <w:rFonts w:ascii="Times New Roman" w:hAnsi="Times New Roman" w:eastAsia="Times New Roman"/>
                <w:sz w:val="20"/>
              </w:rPr>
              <w:t xml:space="preserve">Actual lat/lon coordinates</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0.00</w:t>
            </w:r>
          </w:p>
        </w:tc>
        <w:tc>
          <w:tcPr/>
          <w:p>
            <w:pPr>
              <w:pStyle w:val="Compact"/>
              <w:spacing w:line="240" w:lineRule="auto" w:after="20" w:before="0"/>
            </w:pPr>
            <w:r>
              <w:rPr>
                <w:rFonts w:ascii="Times New Roman" w:hAnsi="Times New Roman" w:eastAsia="Times New Roman"/>
                <w:sz w:val="20"/>
              </w:rPr>
              <w:t xml:space="preserve">Actual Korean training coordinates provide no benefit when evaluation coordinates are unavailable</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All four additional ablations (Appendix C) degrade performance by more than 2 pp, consistent with the broader observation that excessive exposure to synthetic patterns can harm OOD transfer: using BB-fitted Box-Cox parameters maps Korean loads outside the trained range (+3.31 pp); extending training to 168K steps causes the model to memorize synthetic artifacts (+3.09 pp); scaling to 70,000 buildings with a fixed training budget leads to under-sampling (+2.42 pp); and seasonal decomposition before RevIN disrupts OOD transfer (+3.72 pp).</w:t>
      </w:r>
    </w:p>
    <w:p>
      <w:pPr>
        <w:spacing w:line="480" w:lineRule="auto" w:after="0" w:before="0"/>
      </w:pPr>
      <w:r>
        <w:rPr>
          <w:rFonts w:ascii="Times New Roman" w:hAnsi="Times New Roman" w:eastAsia="Times New Roman"/>
          <w:sz w:val="24"/>
        </w:rPr>
        <w:pict>
          <v:rect style="width:0;height:1.5pt" o:hralign="center" o:hrstd="t" o:hr="t"/>
        </w:pict>
      </w:r>
    </w:p>
    <w:bookmarkEnd w:id="24"/>
    <w:bookmarkEnd w:id="25"/>
    <w:bookmarkStart w:id="30" w:name="discussion"/>
    <w:p>
      <w:pPr>
        <w:pStyle w:val="Heading2"/>
        <w:keepNext/>
        <w:spacing w:line="480" w:lineRule="auto" w:after="60" w:before="120"/>
      </w:pPr>
      <w:r>
        <w:rPr>
          <w:rFonts w:ascii="Times New Roman" w:hAnsi="Times New Roman" w:eastAsia="Times New Roman"/>
          <w:b/>
          <w:i w:val="0"/>
          <w:sz w:val="26"/>
        </w:rPr>
        <w:t xml:space="preserve">5. Discussion</w:t>
      </w:r>
    </w:p>
    <w:p>
      <w:pPr>
        <w:pStyle w:val="FirstParagraph"/>
        <w:spacing w:line="480" w:lineRule="auto" w:after="0" w:before="0"/>
      </w:pPr>
      <w:r>
        <w:rPr>
          <w:rFonts w:ascii="Times New Roman" w:hAnsi="Times New Roman" w:eastAsia="Times New Roman"/>
          <w:sz w:val="24"/>
        </w:rPr>
        <w:t xml:space="preserve">The central result is not merely that 700 simulations match a large benchmark, but that they do so under a harder information setting: no geographic coordinates, Korean-weather synthetic training data, and zero-shot evaluation on real U.S. and Portuguese loads. The main result is already cross-climate: Korean-weather simulations reach benchmark-level performance on U.S. and Portuguese real loads despite the climate mismatch. The U.S.-TMY ablation further shows that replacing Korean weather with U.S. weather does not erase the advantage over equal-scale BB controls, although it reduces the five-seed mean relative to Korean-700. This section examines the mechanisms behind these results.</w:t>
      </w:r>
    </w:p>
    <w:bookmarkStart w:id="26" w:name="Xfd9fc52707d56ec9150eef04931e180e96d9084"/>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5.1 RevIN’s Regime-Dependent Effect Across Dataset Scales</w:t>
      </w:r>
    </w:p>
    <w:p>
      <w:pPr>
        <w:pStyle w:val="FirstParagraph"/>
        <w:spacing w:line="480" w:lineRule="auto" w:after="0" w:before="0"/>
      </w:pPr>
      <w:r>
        <w:rPr>
          <w:rFonts w:ascii="Times New Roman" w:hAnsi="Times New Roman" w:eastAsia="Times New Roman"/>
          <w:sz w:val="24"/>
        </w:rPr>
        <w:t xml:space="preserve">Fig. 4 illustrates the asymmetry in RevIN’s effect across dataset scales. RevIN improves both 700-building models (approximately 1.2–1.6 pp) but degrades the BB-900K retraining run by 0.62 pp. In this benchmark setting, the same technique is beneficial for the 700-building models but detrimental in the BB-900K retraining run.</w:t>
      </w:r>
    </w:p>
    <w:p>
      <w:pPr>
        <w:pStyle w:val="BodyText"/>
        <w:spacing w:line="480" w:lineRule="auto" w:after="0" w:before="0"/>
      </w:pPr>
      <w:r>
        <w:rPr>
          <w:rFonts w:ascii="Times New Roman" w:hAnsi="Times New Roman" w:eastAsia="Times New Roman"/>
          <w:sz w:val="24"/>
        </w:rPr>
        <w:t xml:space="preserve">RevIN normalizes each 168-hour context window to zero mean and unit variance, stripping absolute load magnitude and within-window variance. The model then operates in a scale-free space, learning only temporal shape. With 700 LHS-designed buildings, the model has not seen enough magnitude variation to internalize it; RevIN solves this analytically. With 900,000 stock-model buildings each contributing roughly 2–3 sampled training windows on average, the model has already learned to exploit magnitude as a signal—a building consuming 500 kW at midnight behaves differently from one consuming 5 kW. Removing this information via RevIN discards something useful, producing a net loss.</w:t>
      </w:r>
    </w:p>
    <w:p>
      <w:pPr>
        <w:pStyle w:val="BodyText"/>
        <w:spacing w:line="480" w:lineRule="auto" w:after="0" w:before="0"/>
      </w:pPr>
      <w:r>
        <w:rPr>
          <w:rFonts w:ascii="Times New Roman" w:hAnsi="Times New Roman" w:eastAsia="Times New Roman"/>
          <w:sz w:val="24"/>
        </w:rPr>
        <w:t xml:space="preserve">A structural factor reinforces this mechanism. In Buildings-900K, a building’s magnitude is informative about its type because HVAC, envelope, and schedule are jointly determined by stock-model parameters—magnitude and temporal shape are correlated. In our LHS design, magnitude reflects only the scale_mult parameter, which is sampled independently of the schedule parameters that determine temporal shape. RevIN’s removal of magnitude therefore discards less useful information in LHS data than in stock-model data.</w:t>
      </w:r>
    </w:p>
    <w:p>
      <w:pPr>
        <w:pStyle w:val="BodyText"/>
        <w:spacing w:line="480" w:lineRule="auto" w:after="0" w:before="0"/>
      </w:pPr>
      <w:r>
        <w:rPr>
          <w:rFonts w:ascii="Times New Roman" w:hAnsi="Times New Roman" w:eastAsia="Times New Roman"/>
          <w:sz w:val="24"/>
        </w:rPr>
        <w:t xml:space="preserve">RevIN is therefore not universally beneficial: its value depends on whether the training data already covers the magnitude range of the evaluation set.</w:t>
      </w:r>
    </w:p>
    <w:bookmarkEnd w:id="26"/>
    <w:bookmarkStart w:id="27" w:name="X05b7017c276b8b6ea26caeff24defa9e517faa9"/>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5.2 Why Operational Diversity May Matter More Than Scale</w:t>
      </w:r>
    </w:p>
    <w:p>
      <w:pPr>
        <w:pStyle w:val="FirstParagraph"/>
        <w:spacing w:line="480" w:lineRule="auto" w:after="0" w:before="0"/>
      </w:pPr>
      <w:r>
        <w:rPr>
          <w:rFonts w:ascii="Times New Roman" w:hAnsi="Times New Roman" w:eastAsia="Times New Roman"/>
          <w:sz w:val="24"/>
        </w:rPr>
        <w:t xml:space="preserve">Seven hundred buildings with LHS-designed operational schedules reach benchmark-level performance comparable to 900,000 stock-model buildings on the BuildingsBench evaluation protocol (with RevIN and augmentation). Buildings-900K draws from the NREL End-Use Load Profiles for the U.S. building stock. Although carefully constructed, it remains a stock-model sample. It generates buildings whose operational parameters reflect the statistical distribution of real U.S. commercial buildings: most offices operate 08:00 to 18:00 on weekdays; most retail stores have moderate baseloads; most hospitals run continuously. Adding more buildings from this distribution increases the sample size but does not proportionally increase the diversity of temporal patterns the model encounters. Many of the 900,000 buildings share similar operational profiles because they are drawn from the same assumptions about how buildings operate.</w:t>
      </w:r>
    </w:p>
    <w:p>
      <w:pPr>
        <w:pStyle w:val="BodyText"/>
        <w:spacing w:line="480" w:lineRule="auto" w:after="0" w:before="0"/>
      </w:pPr>
      <w:r>
        <w:rPr>
          <w:rFonts w:ascii="Times New Roman" w:hAnsi="Times New Roman" w:eastAsia="Times New Roman"/>
          <w:sz w:val="24"/>
        </w:rPr>
        <w:t xml:space="preserve">Our 12D LHS design takes a different approach. By sampling operational parameters uniformly across their feasible ranges, we produce buildings that occupy regions of operational space rarely seen in a stock-model sample: offices that run 24 hours with 95% baseload, schools with random weekly schedule disruptions, warehouses with strong seasonal oscillation. These extreme and unusual patterns may be rare in reality, but they expose the model to a wider range of temporal dynamics than stock-model sampling alone. The BuildingsBench evaluation set contains real buildings, and real buildings—especially non-standard ones like data centers, 24-hour retail, or buildings with unusual HVAC systems—may have operational patterns closer to our LHS extremes than to the stock-model center.</w:t>
      </w:r>
    </w:p>
    <w:p>
      <w:pPr>
        <w:pStyle w:val="BodyText"/>
        <w:spacing w:line="480" w:lineRule="auto" w:after="0" w:before="0"/>
      </w:pPr>
      <w:r>
        <w:rPr>
          <w:rFonts w:ascii="Times New Roman" w:hAnsi="Times New Roman" w:eastAsia="Times New Roman"/>
          <w:sz w:val="24"/>
        </w:rPr>
        <w:t xml:space="preserve">From a scaling-law perspective, this is consistent with Shi et al. [5], who showed that scaling in time series does not follow language-model power laws. In language modeling, additional tokens more directly expand the combinatorial coverage of linguistic contexts; in building load time series, each additional building from the same stock model may add only a variation on patterns already in the training set. The marginal information content decreases rapidly.</w:t>
      </w:r>
    </w:p>
    <w:p>
      <w:pPr>
        <w:pStyle w:val="BodyText"/>
        <w:spacing w:line="480" w:lineRule="auto" w:after="0" w:before="0"/>
      </w:pPr>
      <w:r>
        <w:rPr>
          <w:rFonts w:ascii="Times New Roman" w:hAnsi="Times New Roman" w:eastAsia="Times New Roman"/>
          <w:sz w:val="24"/>
        </w:rPr>
        <w:t xml:space="preserve">The n-scaling analysis (Table 4, Section 4.3) provides direct evidence: benchmark-level performance emerges at just 70 buildings (n = 5 per archetype), with diminishing returns on the single-seed curve beyond 140 buildings (n = 10). Once the LHS parameter space is adequately covered, additional samples add little new temporal pattern information. This saturation differs from the monotonic gains often associated with large-scale pretraining and is consistent with learning that is governed by the number of distinct temporal patterns, not the number of examples.</w:t>
      </w:r>
    </w:p>
    <w:bookmarkEnd w:id="27"/>
    <w:bookmarkStart w:id="28" w:name="practical-implication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5.3 Practical Implications</w:t>
      </w:r>
    </w:p>
    <w:p>
      <w:pPr>
        <w:pStyle w:val="FirstParagraph"/>
        <w:spacing w:line="480" w:lineRule="auto" w:after="0" w:before="0"/>
      </w:pPr>
      <w:r>
        <w:rPr>
          <w:rFonts w:ascii="Times New Roman" w:hAnsi="Times New Roman" w:eastAsia="Times New Roman"/>
          <w:sz w:val="24"/>
        </w:rPr>
        <w:t xml:space="preserve">An organization can generate several hundred parametric EnergyPlus simulations conforming to local building codes and climate, train a standard Transformer with RevIN and augmentation, and deploy zero-shot forecasting—without assembling a 900,000-building dataset or collecting extensive real-world measurements.</w:t>
      </w:r>
    </w:p>
    <w:p>
      <w:pPr>
        <w:pStyle w:val="BodyText"/>
        <w:spacing w:line="480" w:lineRule="auto" w:after="0" w:before="0"/>
      </w:pPr>
      <w:r>
        <w:rPr>
          <w:rFonts w:ascii="Times New Roman" w:hAnsi="Times New Roman" w:eastAsia="Times New Roman"/>
          <w:sz w:val="24"/>
        </w:rPr>
        <w:t xml:space="preserve">The computational cost difference is substantial. Our 700 EnergyPlus simulations complete in approximately 4 hours on a single workstation. Training requires 18,000 gradient steps on a single GPU (approximately 2 hours on an RTX 4090). The entire pipeline from simulation to deployed model takes less than a day. BuildingsBench’s 900,000 simulations required the precomputed NREL EULP database and training at a comparable cost per step but with a dataset 1,286 times larger.</w:t>
      </w:r>
    </w:p>
    <w:p>
      <w:pPr>
        <w:pStyle w:val="BodyText"/>
        <w:spacing w:line="480" w:lineRule="auto" w:after="0" w:before="0"/>
      </w:pPr>
      <w:r>
        <w:rPr>
          <w:rFonts w:ascii="Times New Roman" w:hAnsi="Times New Roman" w:eastAsia="Times New Roman"/>
          <w:sz w:val="24"/>
        </w:rPr>
        <w:t xml:space="preserve">The finding that geographic features are unnecessary further simplifies deployment. Building operators need only provide recent hourly electricity measurements and timestamps. No location metadata, building-type classification, climate zone, or HVAC system information is required. RevIN helps absorb instance-level scale differences, reducing the need for explicit geographic metadata.</w:t>
      </w:r>
    </w:p>
    <w:p>
      <w:pPr>
        <w:pStyle w:val="BodyText"/>
        <w:spacing w:line="480" w:lineRule="auto" w:after="0" w:before="0"/>
      </w:pPr>
      <w:r>
        <w:rPr>
          <w:rFonts w:ascii="Times New Roman" w:hAnsi="Times New Roman" w:eastAsia="Times New Roman"/>
          <w:sz w:val="24"/>
        </w:rPr>
        <w:t xml:space="preserve">The climate mismatch is itself informative: Korean-weather simulations achieve lower NRMSE than the U.S.-stock BB-900K baseline on U.S. and Portuguese real loads. The U.S.-TMY ablation serves a different purpose: it shows that replacing Korean weather with U.S. weather preserves an advantage over the equal-scale BB-700 control, although not over the full BB-900K baseline (Section 4.2). This distinction matters—the U.S.-TMY result isolates schedule diversity from climate origin at matched scale, while the Korean-700 vs. BB-900K comparison is the primary claim. The higher seed variance of U.S.-TMY-700 suggests that weather choice affects run-to-run stability even when operational diversity is held constant.</w:t>
      </w:r>
    </w:p>
    <w:bookmarkEnd w:id="28"/>
    <w:bookmarkStart w:id="29" w:name="limitation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5.4 Limitations</w:t>
      </w:r>
    </w:p>
    <w:p>
      <w:pPr>
        <w:pStyle w:val="FirstParagraph"/>
        <w:spacing w:line="480" w:lineRule="auto" w:after="0" w:before="0"/>
      </w:pPr>
      <w:r>
        <w:rPr>
          <w:rFonts w:ascii="Times New Roman" w:hAnsi="Times New Roman" w:eastAsia="Times New Roman"/>
          <w:sz w:val="24"/>
        </w:rPr>
        <w:t xml:space="preserve">Our parametric simulations differ from BuildingsBench in schedule design (12D LHS vs. stock model), climate (Korean vs. U.S. weather), building codes, and envelope parameters. At equal scale with matched augmentation, Korean data outperforms BB data by 1.15 pp, establishing that the data source matters. The U.S.-TMY/LHS ablation (Section 4.2) substantially reduces but does not eliminate the climate-origin confound: U.S.-TMY-700 still outperforms BB-700 but falls short of Korean-700 with wider seed variance. This indicates that schedule diversity is a major contributor, but weather choice retains a measurable effect on both average performance and stability. The aug-matched BB-700 RevIN OFF experiment was not conducted; the estimated augmentation-corrected gap reported in Section 4.2 assumes that augmentation provides a similar benefit regardless of the RevIN condition, an assumption that has not been empirically verified.</w:t>
      </w:r>
    </w:p>
    <w:p>
      <w:pPr>
        <w:pStyle w:val="BodyText"/>
        <w:spacing w:line="480" w:lineRule="auto" w:after="0" w:before="0"/>
      </w:pPr>
      <w:r>
        <w:rPr>
          <w:rFonts w:ascii="Times New Roman" w:hAnsi="Times New Roman" w:eastAsia="Times New Roman"/>
          <w:sz w:val="24"/>
        </w:rPr>
        <w:t xml:space="preserve">Controlled experiments address the two most likely alternative explanations. Applying RevIN to BB 900K degrades performance, ruling out RevIN as the sole driver. Augmentation narrows the BB-700 gap but cannot close it (Section 4.2). The NCRPS comparison reinforces the same ordering (Table 3).</w:t>
      </w:r>
    </w:p>
    <w:p>
      <w:pPr>
        <w:pStyle w:val="BodyText"/>
        <w:spacing w:line="480" w:lineRule="auto" w:after="0" w:before="0"/>
      </w:pPr>
      <w:r>
        <w:rPr>
          <w:rFonts w:ascii="Times New Roman" w:hAnsi="Times New Roman" w:eastAsia="Times New Roman"/>
          <w:sz w:val="24"/>
        </w:rPr>
        <w:t xml:space="preserve">The aggregate improvement over the BB-900K baseline (0.16 pp) is modest and comparable to the inter-seed standard deviation (0.17%). The paired per-building comparison (Section 4.1) confirms statistical significance (71% win rate, bootstrap CI excluding zero, p &lt; 0.001), and even the weakest seed still favors Korean-700 on a majority of buildings. Although the margin is small, it is obtained with 1,286× fewer training buildings and no geographic metadata. N-scaling intermediate points use seed = 42; non-monotonic variation at larger n likely reflects seed variance rather than a systematic trend.</w:t>
      </w:r>
    </w:p>
    <w:p>
      <w:pPr>
        <w:pStyle w:val="BodyText"/>
        <w:spacing w:line="480" w:lineRule="auto" w:after="0" w:before="0"/>
      </w:pPr>
      <w:r>
        <w:rPr>
          <w:rFonts w:ascii="Times New Roman" w:hAnsi="Times New Roman" w:eastAsia="Times New Roman"/>
          <w:sz w:val="24"/>
        </w:rPr>
        <w:t xml:space="preserve">All experiments use the Transformer-M architecture (15.8M parameters); generalization to PatchTST, MOIRAI, or Chronos has not been tested. On the residential segment (953 buildings), our model yields 77.71% NRMSE, comparable to the Persistence Ensemble (77.88%), confirming that zero-shot residential forecasting remains an open problem. Real-world validation beyond the BuildingsBench evaluation set (which itself comprises real metered buildings) has not been conducted; broader testing across diverse Korean building types is needed. Checkpoints are selected by validation loss on held-out Korean simulation data; no BuildingsBench test-set information influences model selection.</w:t>
      </w:r>
    </w:p>
    <w:p>
      <w:pPr>
        <w:spacing w:line="480" w:lineRule="auto" w:after="0" w:before="0"/>
      </w:pPr>
      <w:r>
        <w:rPr>
          <w:rFonts w:ascii="Times New Roman" w:hAnsi="Times New Roman" w:eastAsia="Times New Roman"/>
          <w:sz w:val="24"/>
        </w:rPr>
        <w:pict>
          <v:rect style="width:0;height:1.5pt" o:hralign="center" o:hrstd="t" o:hr="t"/>
        </w:pict>
      </w:r>
    </w:p>
    <w:bookmarkEnd w:id="29"/>
    <w:bookmarkEnd w:id="30"/>
    <w:bookmarkStart w:id="31" w:name="conclusion"/>
    <w:p>
      <w:pPr>
        <w:pStyle w:val="Heading2"/>
        <w:keepNext/>
        <w:spacing w:line="480" w:lineRule="auto" w:after="60" w:before="120"/>
      </w:pPr>
      <w:r>
        <w:rPr>
          <w:rFonts w:ascii="Times New Roman" w:hAnsi="Times New Roman" w:eastAsia="Times New Roman"/>
          <w:b/>
          <w:i w:val="0"/>
          <w:sz w:val="26"/>
        </w:rPr>
        <w:t xml:space="preserve">6. Conclusion</w:t>
      </w:r>
    </w:p>
    <w:p>
      <w:pPr>
        <w:pStyle w:val="FirstParagraph"/>
        <w:spacing w:line="480" w:lineRule="auto" w:after="0" w:before="0"/>
      </w:pPr>
      <w:r>
        <w:rPr>
          <w:rFonts w:ascii="Times New Roman" w:hAnsi="Times New Roman" w:eastAsia="Times New Roman"/>
          <w:sz w:val="24"/>
        </w:rPr>
        <w:t xml:space="preserve">Data design can substitute for scale in zero-shot building energy forecasting. Seven hundred EnergyPlus simulations, when designed for operational diversity, are sufficient for high-accuracy zero-shot building load forecasting under the BuildingsBench protocol, while using 1,286× fewer training buildings and no geographic metadata—under a harder information setting of Korean-weather synthetic data evaluated zero-shot on real U.S. and Portuguese loads. Controlled experiments at equal scale attribute the advantage primarily to data design rather than to RevIN or augmentation alone.</w:t>
      </w:r>
    </w:p>
    <w:p>
      <w:pPr>
        <w:pStyle w:val="BodyText"/>
        <w:spacing w:line="480" w:lineRule="auto" w:after="0" w:before="0"/>
      </w:pPr>
      <w:r>
        <w:rPr>
          <w:rFonts w:ascii="Times New Roman" w:hAnsi="Times New Roman" w:eastAsia="Times New Roman"/>
          <w:sz w:val="24"/>
        </w:rPr>
        <w:t xml:space="preserve">The n-scaling saturation near 70–140 buildings challenges the assumption that building energy foundation models require massive training corpora: once the LHS parameter space is adequately sampled, additional buildings provide diminishing new temporal pattern information rather than the monotonic gains predicted by power-law scaling. RevIN’s regime-dependent effect—beneficial for small diverse datasets, detrimental in the BB-900K retraining run—suggests that the value of instance normalization depends on whether the training data already spans the magnitude range of the evaluation set, not simply on dataset size.</w:t>
      </w:r>
    </w:p>
    <w:p>
      <w:pPr>
        <w:pStyle w:val="BodyText"/>
        <w:spacing w:line="480" w:lineRule="auto" w:after="0" w:before="0"/>
      </w:pPr>
      <w:r>
        <w:rPr>
          <w:rFonts w:ascii="Times New Roman" w:hAnsi="Times New Roman" w:eastAsia="Times New Roman"/>
          <w:sz w:val="24"/>
        </w:rPr>
        <w:t xml:space="preserve">For organizations deploying zero-shot forecasting in data-sparse regions, parametric EnergyPlus simulations designed for operational diversity represent a practical and computationally inexpensive path: a single workstation day of simulation and a few GPU-hours of training, with no location metadata or building-type classification required. A U.S.-TMY/LHS ablation supports the conclusion that the improvement is not solely driven by Korean weather, though wider seed variance indicates residual weather sensitivity. The principal open questions are the limitation to commercial buildings and the augmentation asymmetry between our pipeline and BuildingsBench. These limit the generalizability of the conclusions and call for follow-up work before the approach can be recommended across all building types.</w:t>
      </w:r>
    </w:p>
    <w:p>
      <w:pPr>
        <w:spacing w:line="480" w:lineRule="auto" w:after="0" w:before="0"/>
      </w:pPr>
      <w:r>
        <w:rPr>
          <w:rFonts w:ascii="Times New Roman" w:hAnsi="Times New Roman" w:eastAsia="Times New Roman"/>
          <w:sz w:val="24"/>
        </w:rPr>
        <w:pict>
          <v:rect style="width:0;height:1.5pt" o:hralign="center" o:hrstd="t" o:hr="t"/>
        </w:pict>
      </w:r>
    </w:p>
    <w:bookmarkEnd w:id="31"/>
    <w:bookmarkStart w:id="32" w:name="acknowledgements"/>
    <w:p>
      <w:pPr>
        <w:pStyle w:val="Heading2"/>
        <w:keepNext/>
        <w:spacing w:line="480" w:lineRule="auto" w:after="60" w:before="120"/>
      </w:pPr>
      <w:r>
        <w:rPr>
          <w:rFonts w:ascii="Times New Roman" w:hAnsi="Times New Roman" w:eastAsia="Times New Roman"/>
          <w:b/>
          <w:i w:val="0"/>
          <w:sz w:val="26"/>
        </w:rPr>
        <w:t xml:space="preserve">Acknowledgements</w:t>
      </w:r>
    </w:p>
    <w:p>
      <w:pPr>
        <w:pStyle w:val="FirstParagraph"/>
        <w:spacing w:line="480" w:lineRule="auto" w:after="0" w:before="0"/>
      </w:pPr>
      <w:r>
        <w:rPr>
          <w:rFonts w:ascii="Times New Roman" w:hAnsi="Times New Roman" w:eastAsia="Times New Roman"/>
          <w:sz w:val="24"/>
        </w:rPr>
        <w:t xml:space="preserve">This work was supported by the Korea Institute of Energy Technology Evaluation and Planning (KETEP) grant funded by the Ministry of Trade, Industry and Energy, Republic of Korea (Grant No. RS-00238487).</w:t>
      </w:r>
    </w:p>
    <w:bookmarkEnd w:id="32"/>
    <w:bookmarkStart w:id="33" w:name="credit-author-statement"/>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CRediT Author Statement</w:t>
      </w:r>
    </w:p>
    <w:p>
      <w:pPr>
        <w:pStyle w:val="FirstParagraph"/>
        <w:spacing w:line="480" w:lineRule="auto" w:after="0" w:before="0"/>
      </w:pPr>
      <w:r>
        <w:rPr>
          <w:rFonts w:ascii="Times New Roman" w:hAnsi="Times New Roman" w:eastAsia="Times New Roman"/>
          <w:b/>
          <w:bCs/>
          <w:sz w:val="24"/>
        </w:rPr>
        <w:t xml:space="preserve">Jeong-Uk Kim</w:t>
      </w:r>
      <w:r>
        <w:rPr>
          <w:rFonts w:ascii="Times New Roman" w:hAnsi="Times New Roman" w:eastAsia="Times New Roman"/>
          <w:sz w:val="24"/>
        </w:rPr>
        <w:t xml:space="preserve">: Conceptualization, Methodology, Software, Validation, Formal analysis, Investigation, Data curation, Writing - original draft, Writing - review &amp; editing, Visualization.</w:t>
      </w:r>
    </w:p>
    <w:bookmarkEnd w:id="33"/>
    <w:bookmarkStart w:id="34" w:name="data-availability"/>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Data Availability</w:t>
      </w:r>
    </w:p>
    <w:p>
      <w:pPr>
        <w:pStyle w:val="FirstParagraph"/>
        <w:spacing w:line="480" w:lineRule="auto" w:after="0" w:before="0"/>
      </w:pPr>
      <w:r>
        <w:rPr>
          <w:rFonts w:ascii="Times New Roman" w:hAnsi="Times New Roman" w:eastAsia="Times New Roman"/>
          <w:sz w:val="24"/>
        </w:rPr>
        <w:t xml:space="preserve">The simulation pipeline, model source code, and training configurations are publicly available at https://github.com/jukkim/korean-buildingsbench. The 700-building parametric simulation dataset can be regenerated from the provided pipeline (EnergyPlus IDF generation, simulation, and post-processing scripts in Section 3.1) or is available from the corresponding author upon request. Pretrained checkpoints for the primary results (Korean-700 seeds 42–46, BB-700, BB 900K + RevIN, US-TMY-700 seeds 42–46) and n-scaling intermediate points (n = 2–4, 6–9, 20, 30, 40, 60, 70, 80) are available from the corresponding author upon request. Per-building NRMSE results for all five seeds, the paired statistical test script (Section 4.1), the BB-700 subset building identifiers, and the 700-row LHS parameter table are included in the repository. The BuildingsBench evaluation data can be downloaded from the NREL Open Energy Data Initiative (https://data.openei.org/submissions/5859) under a CC-BY 4.0 license.</w:t>
      </w:r>
    </w:p>
    <w:bookmarkEnd w:id="34"/>
    <w:bookmarkStart w:id="35" w:name="declaration-of-competing-interest"/>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Declaration of Competing Interest</w:t>
      </w:r>
    </w:p>
    <w:p>
      <w:pPr>
        <w:pStyle w:val="FirstParagraph"/>
        <w:spacing w:line="480" w:lineRule="auto" w:after="0" w:before="0"/>
      </w:pPr>
      <w:r>
        <w:rPr>
          <w:rFonts w:ascii="Times New Roman" w:hAnsi="Times New Roman" w:eastAsia="Times New Roman"/>
          <w:sz w:val="24"/>
        </w:rPr>
        <w:t xml:space="preserve">The author declares no known competing financial interests or personal relationships that could have appeared to influence the work reported in this paper.</w:t>
      </w:r>
    </w:p>
    <w:p>
      <w:pPr>
        <w:spacing w:line="480" w:lineRule="auto" w:after="0" w:before="0"/>
      </w:pPr>
      <w:r>
        <w:rPr>
          <w:rFonts w:ascii="Times New Roman" w:hAnsi="Times New Roman" w:eastAsia="Times New Roman"/>
          <w:sz w:val="24"/>
        </w:rPr>
        <w:pict>
          <v:rect style="width:0;height:1.5pt" o:hralign="center" o:hrstd="t" o:hr="t"/>
        </w:pict>
      </w:r>
    </w:p>
    <w:bookmarkEnd w:id="35"/>
    <w:bookmarkStart w:id="36" w:name="X1f74eb43af444059c7518034463b6c89b1cacf4"/>
    <w:p>
      <w:pPr>
        <w:pStyle w:val="Heading2"/>
        <w:keepNext/>
        <w:spacing w:line="480" w:lineRule="auto" w:after="60" w:before="120"/>
      </w:pPr>
      <w:r>
        <w:rPr>
          <w:rFonts w:ascii="Times New Roman" w:hAnsi="Times New Roman" w:eastAsia="Times New Roman"/>
          <w:b/>
          <w:i w:val="0"/>
          <w:sz w:val="26"/>
        </w:rPr>
        <w:t xml:space="preserve">Declaration of Generative AI and AI-Assisted Technologies in the Manuscript Preparation Process</w:t>
      </w:r>
    </w:p>
    <w:p>
      <w:pPr>
        <w:pStyle w:val="FirstParagraph"/>
        <w:spacing w:line="480" w:lineRule="auto" w:after="0" w:before="0"/>
      </w:pPr>
      <w:r>
        <w:rPr>
          <w:rFonts w:ascii="Times New Roman" w:hAnsi="Times New Roman" w:eastAsia="Times New Roman"/>
          <w:sz w:val="24"/>
        </w:rPr>
        <w:t xml:space="preserve">During the preparation of this work the author used Claude (Anthropic) in order to assist with code development for simulation post-processing, figure generation scripts, and manuscript formatting (Markdown-to-DOCX conversion). After using this tool, the author reviewed and edited the content as needed and takes full responsibility for the content of the published article.</w:t>
      </w:r>
    </w:p>
    <w:p>
      <w:pPr>
        <w:spacing w:line="480" w:lineRule="auto" w:after="0" w:before="0"/>
      </w:pPr>
      <w:r>
        <w:rPr>
          <w:rFonts w:ascii="Times New Roman" w:hAnsi="Times New Roman" w:eastAsia="Times New Roman"/>
          <w:sz w:val="24"/>
        </w:rPr>
        <w:pict>
          <v:rect style="width:0;height:1.5pt" o:hralign="center" o:hrstd="t" o:hr="t"/>
        </w:pict>
      </w:r>
    </w:p>
    <w:bookmarkEnd w:id="36"/>
    <w:bookmarkStart w:id="37" w:name="references"/>
    <w:p>
      <w:pPr>
        <w:pStyle w:val="Heading2"/>
        <w:keepNext/>
        <w:spacing w:line="480" w:lineRule="auto" w:after="60" w:before="120"/>
      </w:pPr>
      <w:r>
        <w:rPr>
          <w:rFonts w:ascii="Times New Roman" w:hAnsi="Times New Roman" w:eastAsia="Times New Roman"/>
          <w:b/>
          <w:i w:val="0"/>
          <w:sz w:val="26"/>
        </w:rPr>
        <w:t xml:space="preserve">References</w:t>
      </w:r>
    </w:p>
    <w:p>
      <w:pPr>
        <w:pStyle w:val="FirstParagraph"/>
        <w:spacing w:line="480" w:lineRule="auto" w:after="0" w:before="0"/>
      </w:pPr>
      <w:r>
        <w:rPr>
          <w:rFonts w:ascii="Times New Roman" w:hAnsi="Times New Roman" w:eastAsia="Times New Roman"/>
          <w:sz w:val="24"/>
        </w:rPr>
        <w:t xml:space="preserve">[1] Fan C, et al. A short-term building cooling load prediction method using deep learning algorithms. Appl Energy 2017;195:222–33.</w:t>
      </w:r>
    </w:p>
    <w:p>
      <w:pPr>
        <w:pStyle w:val="BodyText"/>
        <w:spacing w:line="480" w:lineRule="auto" w:after="0" w:before="0"/>
      </w:pPr>
      <w:r>
        <w:rPr>
          <w:rFonts w:ascii="Times New Roman" w:hAnsi="Times New Roman" w:eastAsia="Times New Roman"/>
          <w:sz w:val="24"/>
        </w:rPr>
        <w:t xml:space="preserve">[2] Hong T, et al. Ten questions on urban building energy modeling. Build Environ 2019;168:106508.</w:t>
      </w:r>
    </w:p>
    <w:p>
      <w:pPr>
        <w:pStyle w:val="BodyText"/>
        <w:spacing w:line="480" w:lineRule="auto" w:after="0" w:before="0"/>
      </w:pPr>
      <w:r>
        <w:rPr>
          <w:rFonts w:ascii="Times New Roman" w:hAnsi="Times New Roman" w:eastAsia="Times New Roman"/>
          <w:sz w:val="24"/>
        </w:rPr>
        <w:t xml:space="preserve">[3] Emami P, Sahu A, Graf P. BuildingsBench: A Large-Scale Dataset of 900K Buildings and Benchmark for Short-Term Load Forecasting. Adv Neural Inf Process Syst 2023;36.</w:t>
      </w:r>
    </w:p>
    <w:p>
      <w:pPr>
        <w:pStyle w:val="BodyText"/>
        <w:spacing w:line="480" w:lineRule="auto" w:after="0" w:before="0"/>
      </w:pPr>
      <w:r>
        <w:rPr>
          <w:rFonts w:ascii="Times New Roman" w:hAnsi="Times New Roman" w:eastAsia="Times New Roman"/>
          <w:sz w:val="24"/>
        </w:rPr>
        <w:t xml:space="preserve">[4] Wilson E, et al. End-Use Load Profiles for the U.S. Building Stock. Golden (CO): National Renewable Energy Laboratory; 2022. Report No.: NREL/TP-5500-80889.</w:t>
      </w:r>
    </w:p>
    <w:p>
      <w:pPr>
        <w:pStyle w:val="BodyText"/>
        <w:spacing w:line="480" w:lineRule="auto" w:after="0" w:before="0"/>
      </w:pPr>
      <w:r>
        <w:rPr>
          <w:rFonts w:ascii="Times New Roman" w:hAnsi="Times New Roman" w:eastAsia="Times New Roman"/>
          <w:sz w:val="24"/>
        </w:rPr>
        <w:t xml:space="preserve">[5] Shi J, et al. Scaling Law for Time Series Forecasting. Adv Neural Inf Process Syst 2024;37.</w:t>
      </w:r>
    </w:p>
    <w:p>
      <w:pPr>
        <w:pStyle w:val="BodyText"/>
        <w:spacing w:line="480" w:lineRule="auto" w:after="0" w:before="0"/>
      </w:pPr>
      <w:r>
        <w:rPr>
          <w:rFonts w:ascii="Times New Roman" w:hAnsi="Times New Roman" w:eastAsia="Times New Roman"/>
          <w:sz w:val="24"/>
        </w:rPr>
        <w:t xml:space="preserve">[6] Liu X, et al. MOIRAI-MoE: Empowering Time Series Foundation Models with Sparse Mixture of Experts. Proc Mach Learn Res 2025;267:38940–62.</w:t>
      </w:r>
    </w:p>
    <w:p>
      <w:pPr>
        <w:pStyle w:val="BodyText"/>
        <w:spacing w:line="480" w:lineRule="auto" w:after="0" w:before="0"/>
      </w:pPr>
      <w:r>
        <w:rPr>
          <w:rFonts w:ascii="Times New Roman" w:hAnsi="Times New Roman" w:eastAsia="Times New Roman"/>
          <w:sz w:val="24"/>
        </w:rPr>
        <w:t xml:space="preserve">[7] Zha D, et al. Data-centric AI: Perspectives and Challenges. Proc SIAM Int Conf Data Min; 2023. p. 945–8.</w:t>
      </w:r>
    </w:p>
    <w:p>
      <w:pPr>
        <w:pStyle w:val="BodyText"/>
        <w:spacing w:line="480" w:lineRule="auto" w:after="0" w:before="0"/>
      </w:pPr>
      <w:r>
        <w:rPr>
          <w:rFonts w:ascii="Times New Roman" w:hAnsi="Times New Roman" w:eastAsia="Times New Roman"/>
          <w:sz w:val="24"/>
        </w:rPr>
        <w:t xml:space="preserve">[8] Kim T, et al. Reversible Instance Normalization for Accurate Time-Series Forecasting against Distribution Shift. Int Conf Learn Represent; 2022.</w:t>
      </w:r>
    </w:p>
    <w:p>
      <w:pPr>
        <w:pStyle w:val="BodyText"/>
        <w:spacing w:line="480" w:lineRule="auto" w:after="0" w:before="0"/>
      </w:pPr>
      <w:r>
        <w:rPr>
          <w:rFonts w:ascii="Times New Roman" w:hAnsi="Times New Roman" w:eastAsia="Times New Roman"/>
          <w:sz w:val="24"/>
        </w:rPr>
        <w:t xml:space="preserve">[9] Amasyali K, El-Gohary NM. A review of data-driven building energy consumption prediction studies. Renew Sustain Energy Rev 2018;81:1192–205.</w:t>
      </w:r>
    </w:p>
    <w:p>
      <w:pPr>
        <w:pStyle w:val="BodyText"/>
        <w:spacing w:line="480" w:lineRule="auto" w:after="0" w:before="0"/>
      </w:pPr>
      <w:r>
        <w:rPr>
          <w:rFonts w:ascii="Times New Roman" w:hAnsi="Times New Roman" w:eastAsia="Times New Roman"/>
          <w:sz w:val="24"/>
        </w:rPr>
        <w:t xml:space="preserve">[10] Chen T, Guestrin C. XGBoost: A Scalable Tree Boosting System. Proc 22nd ACM SIGKDD Int Conf Knowl Discov Data Min; 2016. p. 785–94.</w:t>
      </w:r>
    </w:p>
    <w:p>
      <w:pPr>
        <w:pStyle w:val="BodyText"/>
        <w:spacing w:line="480" w:lineRule="auto" w:after="0" w:before="0"/>
      </w:pPr>
      <w:r>
        <w:rPr>
          <w:rFonts w:ascii="Times New Roman" w:hAnsi="Times New Roman" w:eastAsia="Times New Roman"/>
          <w:sz w:val="24"/>
        </w:rPr>
        <w:t xml:space="preserve">[11] Hochreiter S, Schmidhuber J. Long Short-Term Memory. Neural Comput 1997;9(8):1735–80.</w:t>
      </w:r>
    </w:p>
    <w:p>
      <w:pPr>
        <w:pStyle w:val="BodyText"/>
        <w:spacing w:line="480" w:lineRule="auto" w:after="0" w:before="0"/>
      </w:pPr>
      <w:r>
        <w:rPr>
          <w:rFonts w:ascii="Times New Roman" w:hAnsi="Times New Roman" w:eastAsia="Times New Roman"/>
          <w:sz w:val="24"/>
        </w:rPr>
        <w:t xml:space="preserve">[12] Vaswani A, et al. Attention Is All You Need. Adv Neural Inf Process Syst 2017;30.</w:t>
      </w:r>
    </w:p>
    <w:p>
      <w:pPr>
        <w:pStyle w:val="BodyText"/>
        <w:spacing w:line="480" w:lineRule="auto" w:after="0" w:before="0"/>
      </w:pPr>
      <w:r>
        <w:rPr>
          <w:rFonts w:ascii="Times New Roman" w:hAnsi="Times New Roman" w:eastAsia="Times New Roman"/>
          <w:sz w:val="24"/>
        </w:rPr>
        <w:t xml:space="preserve">[13] Nie Y, et al. A Time Series is Worth 64 Words: Long-term Forecasting with Transformers. Int Conf Learn Represent; 2023.</w:t>
      </w:r>
    </w:p>
    <w:p>
      <w:pPr>
        <w:pStyle w:val="BodyText"/>
        <w:spacing w:line="480" w:lineRule="auto" w:after="0" w:before="0"/>
      </w:pPr>
      <w:r>
        <w:rPr>
          <w:rFonts w:ascii="Times New Roman" w:hAnsi="Times New Roman" w:eastAsia="Times New Roman"/>
          <w:sz w:val="24"/>
        </w:rPr>
        <w:t xml:space="preserve">[14] Ribeiro M, et al. Transfer learning with seasonal and trend adjustment for cross-building energy forecasting. Energy Build 2018;165:352–63.</w:t>
      </w:r>
    </w:p>
    <w:p>
      <w:pPr>
        <w:pStyle w:val="BodyText"/>
        <w:spacing w:line="480" w:lineRule="auto" w:after="0" w:before="0"/>
      </w:pPr>
      <w:r>
        <w:rPr>
          <w:rFonts w:ascii="Times New Roman" w:hAnsi="Times New Roman" w:eastAsia="Times New Roman"/>
          <w:sz w:val="24"/>
        </w:rPr>
        <w:t xml:space="preserve">[15] Spencer R, et al. Transfer Learning on Transformers for Building Energy Consumption Forecasting — A Comparative Study. Energy Build 2025;336:115632.</w:t>
      </w:r>
    </w:p>
    <w:p>
      <w:pPr>
        <w:pStyle w:val="BodyText"/>
        <w:spacing w:line="480" w:lineRule="auto" w:after="0" w:before="0"/>
      </w:pPr>
      <w:r>
        <w:rPr>
          <w:rFonts w:ascii="Times New Roman" w:hAnsi="Times New Roman" w:eastAsia="Times New Roman"/>
          <w:sz w:val="24"/>
        </w:rPr>
        <w:t xml:space="preserve">[16] Das A, et al. A decoder-only foundation model for time-series forecasting. Proc Mach Learn Res 2024;235:10148–67.</w:t>
      </w:r>
    </w:p>
    <w:p>
      <w:pPr>
        <w:pStyle w:val="BodyText"/>
        <w:spacing w:line="480" w:lineRule="auto" w:after="0" w:before="0"/>
      </w:pPr>
      <w:r>
        <w:rPr>
          <w:rFonts w:ascii="Times New Roman" w:hAnsi="Times New Roman" w:eastAsia="Times New Roman"/>
          <w:sz w:val="24"/>
        </w:rPr>
        <w:t xml:space="preserve">[17] Ansari AF, et al. Chronos: Learning the Language of Time Series. Trans Mach Learn Res 2024.</w:t>
      </w:r>
    </w:p>
    <w:p>
      <w:pPr>
        <w:pStyle w:val="BodyText"/>
        <w:spacing w:line="480" w:lineRule="auto" w:after="0" w:before="0"/>
      </w:pPr>
      <w:r>
        <w:rPr>
          <w:rFonts w:ascii="Times New Roman" w:hAnsi="Times New Roman" w:eastAsia="Times New Roman"/>
          <w:sz w:val="24"/>
        </w:rPr>
        <w:t xml:space="preserve">[18] Rasul K, et al. Lag-Llama: Towards Foundation Models for Probabilistic Time Series Forecasting. NeurIPS Workshop Robustness Found Models; 2023.</w:t>
      </w:r>
    </w:p>
    <w:p>
      <w:pPr>
        <w:pStyle w:val="BodyText"/>
        <w:spacing w:line="480" w:lineRule="auto" w:after="0" w:before="0"/>
      </w:pPr>
      <w:r>
        <w:rPr>
          <w:rFonts w:ascii="Times New Roman" w:hAnsi="Times New Roman" w:eastAsia="Times New Roman"/>
          <w:sz w:val="24"/>
        </w:rPr>
        <w:t xml:space="preserve">[19] Woo G, et al. Unified Training of Universal Time Series Forecasting Transformers. Proc Mach Learn Res 2024;235:53140–64.</w:t>
      </w:r>
    </w:p>
    <w:p>
      <w:pPr>
        <w:pStyle w:val="BodyText"/>
        <w:spacing w:line="480" w:lineRule="auto" w:after="0" w:before="0"/>
      </w:pPr>
      <w:r>
        <w:rPr>
          <w:rFonts w:ascii="Times New Roman" w:hAnsi="Times New Roman" w:eastAsia="Times New Roman"/>
          <w:sz w:val="24"/>
        </w:rPr>
        <w:t xml:space="preserve">[20] Yao Q, et al. Towards Neural Scaling Laws for Time Series Foundation Models. Int Conf Learn Represent; 2025.</w:t>
      </w:r>
    </w:p>
    <w:p>
      <w:pPr>
        <w:pStyle w:val="BodyText"/>
        <w:spacing w:line="480" w:lineRule="auto" w:after="0" w:before="0"/>
      </w:pPr>
      <w:r>
        <w:rPr>
          <w:rFonts w:ascii="Times New Roman" w:hAnsi="Times New Roman" w:eastAsia="Times New Roman"/>
          <w:sz w:val="24"/>
        </w:rPr>
        <w:t xml:space="preserve">[21] Crawley DB, et al. EnergyPlus: creating a new-generation building energy simulation program. Energy Build 2001;33(4):319–31.</w:t>
      </w:r>
    </w:p>
    <w:p>
      <w:pPr>
        <w:pStyle w:val="BodyText"/>
        <w:spacing w:line="480" w:lineRule="auto" w:after="0" w:before="0"/>
      </w:pPr>
      <w:r>
        <w:rPr>
          <w:rFonts w:ascii="Times New Roman" w:hAnsi="Times New Roman" w:eastAsia="Times New Roman"/>
          <w:sz w:val="24"/>
        </w:rPr>
        <w:t xml:space="preserve">[22] Deru M, et al. U.S. Department of Energy Commercial Reference Building Models of the National Building Stock. Golden (CO): National Renewable Energy Laboratory; 2011. Report No.: NREL/TP-5500-46861.</w:t>
      </w:r>
    </w:p>
    <w:p>
      <w:pPr>
        <w:pStyle w:val="BodyText"/>
        <w:spacing w:line="480" w:lineRule="auto" w:after="0" w:before="0"/>
      </w:pPr>
      <w:r>
        <w:rPr>
          <w:rFonts w:ascii="Times New Roman" w:hAnsi="Times New Roman" w:eastAsia="Times New Roman"/>
          <w:sz w:val="24"/>
        </w:rPr>
        <w:t xml:space="preserve">[23] McKay MD, Beckman RJ, Conover WJ. A Comparison of Three Methods for Selecting Values of Input Variables in the Analysis of Output from a Computer Code. Technometrics 1979;21(2):239–45.</w:t>
      </w:r>
    </w:p>
    <w:p>
      <w:pPr>
        <w:pStyle w:val="BodyText"/>
        <w:spacing w:line="480" w:lineRule="auto" w:after="0" w:before="0"/>
      </w:pPr>
      <w:r>
        <w:rPr>
          <w:rFonts w:ascii="Times New Roman" w:hAnsi="Times New Roman" w:eastAsia="Times New Roman"/>
          <w:sz w:val="24"/>
        </w:rPr>
        <w:t xml:space="preserve">[24] Box GEP, Cox DR. An Analysis of Transformations. J R Stat Soc B 1964;26(2):211–52.</w:t>
      </w:r>
    </w:p>
    <w:p>
      <w:pPr>
        <w:pStyle w:val="BodyText"/>
        <w:spacing w:line="480" w:lineRule="auto" w:after="0" w:before="0"/>
      </w:pPr>
      <w:r>
        <w:rPr>
          <w:rFonts w:ascii="Times New Roman" w:hAnsi="Times New Roman" w:eastAsia="Times New Roman"/>
          <w:sz w:val="24"/>
        </w:rPr>
        <w:t xml:space="preserve">[25] Loshchilov I, Hutter F. Decoupled Weight Decay Regularization. Int Conf Learn Represent; 2019.</w:t>
      </w:r>
    </w:p>
    <w:p>
      <w:pPr>
        <w:pStyle w:val="BodyText"/>
        <w:spacing w:line="480" w:lineRule="auto" w:after="0" w:before="0"/>
      </w:pPr>
      <w:r>
        <w:rPr>
          <w:rFonts w:ascii="Times New Roman" w:hAnsi="Times New Roman" w:eastAsia="Times New Roman"/>
          <w:sz w:val="24"/>
        </w:rPr>
        <w:t xml:space="preserve">[26] Miller C, et al. The Building Data Genome Project 2, energy meter data from the ASHRAE Great Energy Predictor III competition. Sci Data 2020;7:368.</w:t>
      </w:r>
    </w:p>
    <w:p>
      <w:pPr>
        <w:pStyle w:val="BodyText"/>
        <w:spacing w:line="480" w:lineRule="auto" w:after="0" w:before="0"/>
      </w:pPr>
      <w:r>
        <w:rPr>
          <w:rFonts w:ascii="Times New Roman" w:hAnsi="Times New Roman" w:eastAsia="Times New Roman"/>
          <w:sz w:val="24"/>
        </w:rPr>
        <w:t xml:space="preserve">[27] Trindade A. ElectricityLoadDiagrams20112014 [dataset]. UCI Machine Learning Repository; 2015.</w:t>
      </w:r>
    </w:p>
    <w:p>
      <w:pPr>
        <w:spacing w:line="480" w:lineRule="auto" w:after="0" w:before="0"/>
      </w:pPr>
      <w:r>
        <w:rPr>
          <w:rFonts w:ascii="Times New Roman" w:hAnsi="Times New Roman" w:eastAsia="Times New Roman"/>
          <w:sz w:val="24"/>
        </w:rPr>
        <w:pict>
          <v:rect style="width:0;height:1.5pt" o:hralign="center" o:hrstd="t" o:hr="t"/>
        </w:pict>
      </w:r>
    </w:p>
    <w:bookmarkEnd w:id="37"/>
    <w:bookmarkStart w:id="43" w:name="appendix-a-multi-seed-results"/>
    <w:p>
      <w:pPr>
        <w:pStyle w:val="Heading2"/>
        <w:keepNext/>
        <w:spacing w:line="480" w:lineRule="auto" w:after="60" w:before="120"/>
      </w:pPr>
      <w:r>
        <w:rPr>
          <w:rFonts w:ascii="Times New Roman" w:hAnsi="Times New Roman" w:eastAsia="Times New Roman"/>
          <w:b/>
          <w:i w:val="0"/>
          <w:sz w:val="26"/>
        </w:rPr>
        <w:t xml:space="preserve">Appendix A: Multi-Seed Results</w:t>
      </w:r>
    </w:p>
    <w:bookmarkStart w:id="38" w:name="a.1-korean-700-revin-on-s-18000-5-seeds"/>
    <w:p>
      <w:pPr>
        <w:pStyle w:val="Heading3"/>
        <w:keepNext/>
        <w:spacing w:line="480" w:lineRule="auto" w:after="60" w:before="120"/>
      </w:pPr>
      <w:r>
        <w:rPr>
          <w:rFonts w:ascii="Times New Roman" w:hAnsi="Times New Roman" w:eastAsia="Times New Roman"/>
          <w:b/>
          <w:i w:val="0"/>
          <w:sz w:val="24"/>
        </w:rPr>
        <w:t xml:space="preserve">A.1 Korean-700 RevIN ON (s = 18,000, 5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7.10</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13.06</w:t>
            </w:r>
          </w:p>
        </w:tc>
        <w:tc>
          <w:tcPr/>
          <w:p>
            <w:pPr>
              <w:pStyle w:val="Compact"/>
              <w:spacing w:line="240" w:lineRule="auto" w:after="20" w:before="0"/>
              <w:jc w:val="center"/>
            </w:pPr>
            <w:r>
              <w:rPr>
                <w:rFonts w:ascii="Times New Roman" w:hAnsi="Times New Roman" w:eastAsia="Times New Roman"/>
                <w:sz w:val="20"/>
              </w:rPr>
              <w:t xml:space="preserve">7.16</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13.10</w:t>
            </w:r>
          </w:p>
        </w:tc>
        <w:tc>
          <w:tcPr/>
          <w:p>
            <w:pPr>
              <w:pStyle w:val="Compact"/>
              <w:spacing w:line="240" w:lineRule="auto" w:after="20" w:before="0"/>
              <w:jc w:val="center"/>
            </w:pPr>
            <w:r>
              <w:rPr>
                <w:rFonts w:ascii="Times New Roman" w:hAnsi="Times New Roman" w:eastAsia="Times New Roman"/>
                <w:sz w:val="20"/>
              </w:rPr>
              <w:t xml:space="preserve">7.16</w:t>
            </w:r>
          </w:p>
        </w:tc>
      </w:tr>
      <w:tr>
        <w:tc>
          <w:tcPr/>
          <w:p>
            <w:pPr>
              <w:pStyle w:val="Compact"/>
              <w:spacing w:line="240" w:lineRule="auto" w:after="20" w:before="0"/>
              <w:jc w:val="center"/>
            </w:pPr>
            <w:r>
              <w:rPr>
                <w:rFonts w:ascii="Times New Roman" w:hAnsi="Times New Roman" w:eastAsia="Times New Roman"/>
                <w:sz w:val="20"/>
              </w:rPr>
              <w:t xml:space="preserve">45</w:t>
            </w:r>
          </w:p>
        </w:tc>
        <w:tc>
          <w:tcPr/>
          <w:p>
            <w:pPr>
              <w:pStyle w:val="Compact"/>
              <w:spacing w:line="240" w:lineRule="auto" w:after="20" w:before="0"/>
              <w:jc w:val="center"/>
            </w:pPr>
            <w:r>
              <w:rPr>
                <w:rFonts w:ascii="Times New Roman" w:hAnsi="Times New Roman" w:eastAsia="Times New Roman"/>
                <w:sz w:val="20"/>
              </w:rPr>
              <w:t xml:space="preserve">13.39</w:t>
            </w:r>
          </w:p>
        </w:tc>
        <w:tc>
          <w:tcPr/>
          <w:p>
            <w:pPr>
              <w:pStyle w:val="Compact"/>
              <w:spacing w:line="240" w:lineRule="auto" w:after="20" w:before="0"/>
              <w:jc w:val="center"/>
            </w:pPr>
            <w:r>
              <w:rPr>
                <w:rFonts w:ascii="Times New Roman" w:hAnsi="Times New Roman" w:eastAsia="Times New Roman"/>
                <w:sz w:val="20"/>
              </w:rPr>
              <w:t xml:space="preserve">n.e.</w:t>
            </w:r>
          </w:p>
        </w:tc>
      </w:tr>
      <w:tr>
        <w:tc>
          <w:tcPr/>
          <w:p>
            <w:pPr>
              <w:pStyle w:val="Compact"/>
              <w:spacing w:line="240" w:lineRule="auto" w:after="20" w:before="0"/>
              <w:jc w:val="center"/>
            </w:pPr>
            <w:r>
              <w:rPr>
                <w:rFonts w:ascii="Times New Roman" w:hAnsi="Times New Roman" w:eastAsia="Times New Roman"/>
                <w:sz w:val="20"/>
              </w:rPr>
              <w:t xml:space="preserve">46</w:t>
            </w:r>
          </w:p>
        </w:tc>
        <w:tc>
          <w:tcPr/>
          <w:p>
            <w:pPr>
              <w:pStyle w:val="Compact"/>
              <w:spacing w:line="240" w:lineRule="auto" w:after="20" w:before="0"/>
              <w:jc w:val="center"/>
            </w:pPr>
            <w:r>
              <w:rPr>
                <w:rFonts w:ascii="Times New Roman" w:hAnsi="Times New Roman" w:eastAsia="Times New Roman"/>
                <w:sz w:val="20"/>
              </w:rPr>
              <w:t xml:space="preserve">13.07</w:t>
            </w:r>
          </w:p>
        </w:tc>
        <w:tc>
          <w:tcPr/>
          <w:p>
            <w:pPr>
              <w:pStyle w:val="Compact"/>
              <w:spacing w:line="240" w:lineRule="auto" w:after="20" w:before="0"/>
              <w:jc w:val="center"/>
            </w:pPr>
            <w:r>
              <w:rPr>
                <w:rFonts w:ascii="Times New Roman" w:hAnsi="Times New Roman" w:eastAsia="Times New Roman"/>
                <w:sz w:val="20"/>
              </w:rPr>
              <w:t xml:space="preserve">7.14</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13.11 ± 0.17</w:t>
            </w:r>
          </w:p>
        </w:tc>
        <w:tc>
          <w:tcPr/>
          <w:p>
            <w:pPr>
              <w:pStyle w:val="Compact"/>
              <w:spacing w:line="240" w:lineRule="auto" w:after="20" w:before="0"/>
              <w:jc w:val="center"/>
            </w:pPr>
            <w:r>
              <w:rPr>
                <w:rFonts w:ascii="Times New Roman" w:hAnsi="Times New Roman" w:eastAsia="Times New Roman"/>
                <w:b/>
                <w:bCs/>
                <w:sz w:val="20"/>
              </w:rPr>
              <w:t xml:space="preserve">7.14 ± 0.03‡</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 Four-seed mean (seeds 42, 43, 44, 46); seed 45 NCRPS not evaluated with the retrained checkpoint used for NRMSE.</w:t>
      </w:r>
    </w:p>
    <w:bookmarkEnd w:id="38"/>
    <w:bookmarkStart w:id="39" w:name="a.2-korean-700-revin-off-s-18000-3-seed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A.2 Korean-700 RevIN OFF (s = 18,000, 3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14.81</w:t>
            </w:r>
          </w:p>
        </w:tc>
        <w:tc>
          <w:tcPr/>
          <w:p>
            <w:pPr>
              <w:pStyle w:val="Compact"/>
              <w:spacing w:line="240" w:lineRule="auto" w:after="20" w:before="0"/>
              <w:jc w:val="center"/>
            </w:pPr>
            <w:r>
              <w:rPr>
                <w:rFonts w:ascii="Times New Roman" w:hAnsi="Times New Roman" w:eastAsia="Times New Roman"/>
                <w:sz w:val="20"/>
              </w:rPr>
              <w:t xml:space="preserve">8.17</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14.94</w:t>
            </w:r>
          </w:p>
        </w:tc>
        <w:tc>
          <w:tcPr/>
          <w:p>
            <w:pPr>
              <w:pStyle w:val="Compact"/>
              <w:spacing w:line="240" w:lineRule="auto" w:after="20" w:before="0"/>
              <w:jc w:val="center"/>
            </w:pPr>
            <w:r>
              <w:rPr>
                <w:rFonts w:ascii="Times New Roman" w:hAnsi="Times New Roman" w:eastAsia="Times New Roman"/>
                <w:sz w:val="20"/>
              </w:rPr>
              <w:t xml:space="preserve">n.e.</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14.40</w:t>
            </w:r>
          </w:p>
        </w:tc>
        <w:tc>
          <w:tcPr/>
          <w:p>
            <w:pPr>
              <w:pStyle w:val="Compact"/>
              <w:spacing w:line="240" w:lineRule="auto" w:after="20" w:before="0"/>
              <w:jc w:val="center"/>
            </w:pPr>
            <w:r>
              <w:rPr>
                <w:rFonts w:ascii="Times New Roman" w:hAnsi="Times New Roman" w:eastAsia="Times New Roman"/>
                <w:sz w:val="20"/>
              </w:rPr>
              <w:t xml:space="preserve">8.40</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14.72 ± 0.28</w:t>
            </w:r>
          </w:p>
        </w:tc>
        <w:tc>
          <w:tcPr/>
          <w:p>
            <w:pPr>
              <w:pStyle w:val="Compact"/>
              <w:spacing w:line="240" w:lineRule="auto" w:after="20" w:before="0"/>
              <w:jc w:val="center"/>
            </w:pPr>
            <w:r>
              <w:rPr>
                <w:rFonts w:ascii="Times New Roman" w:hAnsi="Times New Roman" w:eastAsia="Times New Roman"/>
                <w:b/>
                <w:bCs/>
                <w:sz w:val="20"/>
              </w:rPr>
              <w:t xml:space="preserve">8.29§</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 Two-seed mean (seeds 42, 44); seed 43 NCRPS not evaluated due to broken original checkpoint.</w:t>
      </w:r>
    </w:p>
    <w:bookmarkEnd w:id="39"/>
    <w:bookmarkStart w:id="40" w:name="a.3-korean-700-revin-on-s-16000-5-seed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A.3 Korean-700 RevIN ON (s = 16,000, 5 seeds)</w:t>
      </w:r>
    </w:p>
    <w:p>
      <w:pPr>
        <w:pStyle w:val="FirstParagraph"/>
        <w:spacing w:line="480" w:lineRule="auto" w:after="0" w:before="0"/>
      </w:pPr>
      <w:r>
        <w:rPr>
          <w:rFonts w:ascii="Times New Roman" w:hAnsi="Times New Roman" w:eastAsia="Times New Roman"/>
          <w:sz w:val="24"/>
        </w:rPr>
        <w:t xml:space="preserve">Five-seed evaluation at s = 16,000 steps yields 13.13 ± 0.15%, confirming robustness to modest variation in training duration. The s = 18,000 setting (13.11 ± 0.17%) is used as the primary result throughout the paper.</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12.89</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13.24</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13.16</w:t>
            </w:r>
          </w:p>
        </w:tc>
      </w:tr>
      <w:tr>
        <w:tc>
          <w:tcPr/>
          <w:p>
            <w:pPr>
              <w:pStyle w:val="Compact"/>
              <w:spacing w:line="240" w:lineRule="auto" w:after="20" w:before="0"/>
              <w:jc w:val="center"/>
            </w:pPr>
            <w:r>
              <w:rPr>
                <w:rFonts w:ascii="Times New Roman" w:hAnsi="Times New Roman" w:eastAsia="Times New Roman"/>
                <w:sz w:val="20"/>
              </w:rPr>
              <w:t xml:space="preserve">45</w:t>
            </w:r>
          </w:p>
        </w:tc>
        <w:tc>
          <w:tcPr/>
          <w:p>
            <w:pPr>
              <w:pStyle w:val="Compact"/>
              <w:spacing w:line="240" w:lineRule="auto" w:after="20" w:before="0"/>
              <w:jc w:val="center"/>
            </w:pPr>
            <w:r>
              <w:rPr>
                <w:rFonts w:ascii="Times New Roman" w:hAnsi="Times New Roman" w:eastAsia="Times New Roman"/>
                <w:sz w:val="20"/>
              </w:rPr>
              <w:t xml:space="preserve">13.26</w:t>
            </w:r>
          </w:p>
        </w:tc>
      </w:tr>
      <w:tr>
        <w:tc>
          <w:tcPr/>
          <w:p>
            <w:pPr>
              <w:pStyle w:val="Compact"/>
              <w:spacing w:line="240" w:lineRule="auto" w:after="20" w:before="0"/>
              <w:jc w:val="center"/>
            </w:pPr>
            <w:r>
              <w:rPr>
                <w:rFonts w:ascii="Times New Roman" w:hAnsi="Times New Roman" w:eastAsia="Times New Roman"/>
                <w:sz w:val="20"/>
              </w:rPr>
              <w:t xml:space="preserve">46</w:t>
            </w:r>
          </w:p>
        </w:tc>
        <w:tc>
          <w:tcPr/>
          <w:p>
            <w:pPr>
              <w:pStyle w:val="Compact"/>
              <w:spacing w:line="240" w:lineRule="auto" w:after="20" w:before="0"/>
              <w:jc w:val="center"/>
            </w:pPr>
            <w:r>
              <w:rPr>
                <w:rFonts w:ascii="Times New Roman" w:hAnsi="Times New Roman" w:eastAsia="Times New Roman"/>
                <w:sz w:val="20"/>
              </w:rPr>
              <w:t xml:space="preserve">13.12</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13.13 ± 0.15</w:t>
            </w:r>
          </w:p>
        </w:tc>
      </w:tr>
    </w:tbl>
    <w:p>
      <w:pPr>
        <w:spacing w:line="480" w:lineRule="auto" w:after="0" w:before="0"/>
      </w:pPr>
    </w:p>
    <w:bookmarkEnd w:id="40"/>
    <w:bookmarkStart w:id="41" w:name="X19de30977b2efbcd7dd418f1d5e794ff568bf73"/>
    <w:p>
      <w:pPr>
        <w:pStyle w:val="Heading3"/>
        <w:keepNext/>
        <w:spacing w:line="480" w:lineRule="auto" w:after="60" w:before="120"/>
      </w:pPr>
      <w:r>
        <w:rPr>
          <w:rFonts w:ascii="Times New Roman" w:hAnsi="Times New Roman" w:eastAsia="Times New Roman"/>
          <w:b/>
          <w:i w:val="0"/>
          <w:sz w:val="24"/>
        </w:rPr>
        <w:t xml:space="preserve">A.4 Korean-700 RevIN ON, No Augmentation (s = 18,000, 3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13.48</w:t>
            </w:r>
          </w:p>
        </w:tc>
        <w:tc>
          <w:tcPr/>
          <w:p>
            <w:pPr>
              <w:pStyle w:val="Compact"/>
              <w:spacing w:line="240" w:lineRule="auto" w:after="20" w:before="0"/>
              <w:jc w:val="center"/>
            </w:pPr>
            <w:r>
              <w:rPr>
                <w:rFonts w:ascii="Times New Roman" w:hAnsi="Times New Roman" w:eastAsia="Times New Roman"/>
                <w:sz w:val="20"/>
              </w:rPr>
              <w:t xml:space="preserve">7.95</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13.89</w:t>
            </w:r>
          </w:p>
        </w:tc>
        <w:tc>
          <w:tcPr/>
          <w:p>
            <w:pPr>
              <w:pStyle w:val="Compact"/>
              <w:spacing w:line="240" w:lineRule="auto" w:after="20" w:before="0"/>
              <w:jc w:val="center"/>
            </w:pPr>
            <w:r>
              <w:rPr>
                <w:rFonts w:ascii="Times New Roman" w:hAnsi="Times New Roman" w:eastAsia="Times New Roman"/>
                <w:sz w:val="20"/>
              </w:rPr>
              <w:t xml:space="preserve">8.21</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13.65</w:t>
            </w:r>
          </w:p>
        </w:tc>
        <w:tc>
          <w:tcPr/>
          <w:p>
            <w:pPr>
              <w:pStyle w:val="Compact"/>
              <w:spacing w:line="240" w:lineRule="auto" w:after="20" w:before="0"/>
              <w:jc w:val="center"/>
            </w:pPr>
            <w:r>
              <w:rPr>
                <w:rFonts w:ascii="Times New Roman" w:hAnsi="Times New Roman" w:eastAsia="Times New Roman"/>
                <w:sz w:val="20"/>
              </w:rPr>
              <w:t xml:space="preserve">8.31</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13.67 ± 0.21</w:t>
            </w:r>
          </w:p>
        </w:tc>
        <w:tc>
          <w:tcPr/>
          <w:p>
            <w:pPr>
              <w:pStyle w:val="Compact"/>
              <w:spacing w:line="240" w:lineRule="auto" w:after="20" w:before="0"/>
              <w:jc w:val="center"/>
            </w:pPr>
            <w:r>
              <w:rPr>
                <w:rFonts w:ascii="Times New Roman" w:hAnsi="Times New Roman" w:eastAsia="Times New Roman"/>
                <w:b/>
                <w:bCs/>
                <w:sz w:val="20"/>
              </w:rPr>
              <w:t xml:space="preserve">8.16 ± 0.18</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Augmentation contributes 0.56 pp to NRMSE (13.67% → 13.11%) and 1.02 pp to NCRPS (8.16% → 7.14%).</w:t>
      </w:r>
    </w:p>
    <w:bookmarkEnd w:id="41"/>
    <w:bookmarkStart w:id="42" w:name="a.5-bb-900k-revin"/>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A.5 BB 900K + RevIN</w:t>
      </w:r>
    </w:p>
    <w:p>
      <w:pPr>
        <w:pStyle w:val="FirstParagraph"/>
        <w:spacing w:line="480" w:lineRule="auto" w:after="0" w:before="0"/>
      </w:pPr>
      <w:r>
        <w:rPr>
          <w:rFonts w:ascii="Times New Roman" w:hAnsi="Times New Roman" w:eastAsia="Times New Roman"/>
          <w:sz w:val="24"/>
        </w:rPr>
        <w:t xml:space="preserve">The BuildingsBench 900K model was retrained from scratch with RevIN enabled (identical architecture, optimizer, and training schedule to the original). The resulting NRMSE of 13.89% on the 955-building evaluation set represents a 0.62 pp degradation relative to the original 13.27%. This single-run result uses the same seed and hyperparameters as the original BuildingsBench training.</w:t>
      </w:r>
    </w:p>
    <w:p>
      <w:pPr>
        <w:spacing w:line="480" w:lineRule="auto" w:after="0" w:before="0"/>
      </w:pPr>
      <w:r>
        <w:rPr>
          <w:rFonts w:ascii="Times New Roman" w:hAnsi="Times New Roman" w:eastAsia="Times New Roman"/>
          <w:sz w:val="24"/>
        </w:rPr>
        <w:pict>
          <v:rect style="width:0;height:1.5pt" o:hralign="center" o:hrstd="t" o:hr="t"/>
        </w:pict>
      </w:r>
    </w:p>
    <w:bookmarkEnd w:id="42"/>
    <w:bookmarkEnd w:id="43"/>
    <w:bookmarkStart w:id="44" w:name="appendix-b-bb-700-and-bb-7k-scaling"/>
    <w:p>
      <w:pPr>
        <w:pStyle w:val="Heading2"/>
        <w:keepNext/>
        <w:spacing w:line="480" w:lineRule="auto" w:after="60" w:before="120"/>
      </w:pPr>
      <w:r>
        <w:rPr>
          <w:rFonts w:ascii="Times New Roman" w:hAnsi="Times New Roman" w:eastAsia="Times New Roman"/>
          <w:b/>
          <w:i w:val="0"/>
          <w:sz w:val="26"/>
        </w:rPr>
        <w:t xml:space="preserve">Appendix B: BB-700 and BB-7K Scaling</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after="20" w:before="0"/>
            </w:pPr>
            <w:r>
              <w:rPr>
                <w:rFonts w:ascii="Times New Roman" w:hAnsi="Times New Roman" w:eastAsia="Times New Roman"/>
                <w:sz w:val="20"/>
              </w:rPr>
              <w:t xml:space="preserve">Configuration</w:t>
            </w:r>
          </w:p>
        </w:tc>
        <w:tc>
          <w:tcPr/>
          <w:p>
            <w:pPr>
              <w:pStyle w:val="Compact"/>
              <w:spacing w:line="240" w:lineRule="auto" w:after="20" w:before="0"/>
              <w:jc w:val="center"/>
            </w:pPr>
            <w:r>
              <w:rPr>
                <w:rFonts w:ascii="Times New Roman" w:hAnsi="Times New Roman" w:eastAsia="Times New Roman"/>
                <w:sz w:val="20"/>
              </w:rPr>
              <w:t xml:space="preserve">N Buildings</w:t>
            </w:r>
          </w:p>
        </w:tc>
        <w:tc>
          <w:tcPr/>
          <w:p>
            <w:pPr>
              <w:pStyle w:val="Compact"/>
              <w:spacing w:line="240" w:lineRule="auto" w:after="20" w:before="0"/>
              <w:jc w:val="center"/>
            </w:pPr>
            <w:r>
              <w:rPr>
                <w:rFonts w:ascii="Times New Roman" w:hAnsi="Times New Roman" w:eastAsia="Times New Roman"/>
                <w:sz w:val="20"/>
              </w:rPr>
              <w:t xml:space="preserve">RevIN</w:t>
            </w:r>
          </w:p>
        </w:tc>
        <w:tc>
          <w:tcPr/>
          <w:p>
            <w:pPr>
              <w:pStyle w:val="Compact"/>
              <w:spacing w:line="240" w:lineRule="auto" w:after="20" w:before="0"/>
              <w:jc w:val="center"/>
            </w:pPr>
            <w:r>
              <w:rPr>
                <w:rFonts w:ascii="Times New Roman" w:hAnsi="Times New Roman" w:eastAsia="Times New Roman"/>
                <w:sz w:val="20"/>
              </w:rPr>
              <w:t xml:space="preserve">Aug</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pPr>
            <w:r>
              <w:rPr>
                <w:rFonts w:ascii="Times New Roman" w:hAnsi="Times New Roman" w:eastAsia="Times New Roman"/>
                <w:sz w:val="20"/>
              </w:rPr>
              <w:t xml:space="preserve">BB-700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15.28</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BB-700 (aug-matched)</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14.26</w:t>
            </w:r>
          </w:p>
        </w:tc>
        <w:tc>
          <w:tcPr/>
          <w:p>
            <w:pPr>
              <w:pStyle w:val="Compact"/>
              <w:spacing w:line="240" w:lineRule="auto" w:after="20" w:before="0"/>
              <w:jc w:val="center"/>
            </w:pPr>
            <w:r>
              <w:rPr>
                <w:rFonts w:ascii="Times New Roman" w:hAnsi="Times New Roman" w:eastAsia="Times New Roman"/>
                <w:sz w:val="20"/>
              </w:rPr>
              <w:t xml:space="preserve">7.80</w:t>
            </w:r>
          </w:p>
        </w:tc>
      </w:tr>
      <w:tr>
        <w:tc>
          <w:tcPr/>
          <w:p>
            <w:pPr>
              <w:pStyle w:val="Compact"/>
              <w:spacing w:line="240" w:lineRule="auto" w:after="20" w:before="0"/>
            </w:pPr>
            <w:r>
              <w:rPr>
                <w:rFonts w:ascii="Times New Roman" w:hAnsi="Times New Roman" w:eastAsia="Times New Roman"/>
                <w:sz w:val="20"/>
              </w:rPr>
              <w:t xml:space="preserve">BB-700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16.44</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BB-7K</w:t>
            </w:r>
          </w:p>
        </w:tc>
        <w:tc>
          <w:tcPr/>
          <w:p>
            <w:pPr>
              <w:pStyle w:val="Compact"/>
              <w:spacing w:line="240" w:lineRule="auto" w:after="20" w:before="0"/>
              <w:jc w:val="center"/>
            </w:pPr>
            <w:r>
              <w:rPr>
                <w:rFonts w:ascii="Times New Roman" w:hAnsi="Times New Roman" w:eastAsia="Times New Roman"/>
                <w:sz w:val="20"/>
              </w:rPr>
              <w:t xml:space="preserve">7,000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14.50</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BB-7K</w:t>
            </w:r>
          </w:p>
        </w:tc>
        <w:tc>
          <w:tcPr/>
          <w:p>
            <w:pPr>
              <w:pStyle w:val="Compact"/>
              <w:spacing w:line="240" w:lineRule="auto" w:after="20" w:before="0"/>
              <w:jc w:val="center"/>
            </w:pPr>
            <w:r>
              <w:rPr>
                <w:rFonts w:ascii="Times New Roman" w:hAnsi="Times New Roman" w:eastAsia="Times New Roman"/>
                <w:sz w:val="20"/>
              </w:rPr>
              <w:t xml:space="preserve">7,000</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15.41</w:t>
            </w:r>
          </w:p>
        </w:tc>
        <w:tc>
          <w:tcPr/>
          <w:p>
            <w:pPr>
              <w:pStyle w:val="Compact"/>
              <w:spacing w:line="240" w:lineRule="auto" w:after="20" w:before="0"/>
              <w:jc w:val="center"/>
            </w:pPr>
            <w:r>
              <w:rPr>
                <w:rFonts w:ascii="Times New Roman" w:hAnsi="Times New Roman" w:eastAsia="Times New Roman"/>
                <w:sz w:val="20"/>
              </w:rPr>
              <w:t xml:space="preserve">—</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 10x increase in BuildingsBench buildings (700 to 7,000) reduces NRMSE by 0.78 pp with RevIN, no aug (15.28% to 14.50%). BB-700 with augmentation (14.26%) narrowly outperforms BB-7K without augmentation (14.50%), though this comparison conflates augmentation and scale effects. Regardless, BB-700+aug (14.26%) remains 1.15 pp above Korean-700 (13.11%), and even BB-7K (14.50%) does not approach the performance of 700 LHS-designed buildings with augmentation.</w:t>
      </w:r>
    </w:p>
    <w:p>
      <w:pPr>
        <w:pStyle w:val="BodyText"/>
        <w:spacing w:line="480" w:lineRule="auto" w:after="0" w:before="0"/>
      </w:pPr>
      <w:r>
        <w:rPr>
          <w:rFonts w:ascii="Times New Roman" w:hAnsi="Times New Roman" w:eastAsia="Times New Roman"/>
          <w:sz w:val="24"/>
        </w:rPr>
        <w:t xml:space="preserve">All results verified through unified evaluation (torch 2.0.1, autocast, identical protocol as BB-900K baseline reproduction).</w:t>
      </w:r>
    </w:p>
    <w:p>
      <w:pPr>
        <w:spacing w:line="480" w:lineRule="auto" w:after="0" w:before="0"/>
      </w:pPr>
      <w:r>
        <w:rPr>
          <w:rFonts w:ascii="Times New Roman" w:hAnsi="Times New Roman" w:eastAsia="Times New Roman"/>
          <w:sz w:val="24"/>
        </w:rPr>
        <w:pict>
          <v:rect style="width:0;height:1.5pt" o:hralign="center" o:hrstd="t" o:hr="t"/>
        </w:pict>
      </w:r>
    </w:p>
    <w:bookmarkEnd w:id="44"/>
    <w:bookmarkStart w:id="45" w:name="X7705841f826405c94727741dedee731c1f88735"/>
    <w:p>
      <w:pPr>
        <w:pStyle w:val="Heading2"/>
        <w:keepNext/>
        <w:spacing w:line="480" w:lineRule="auto" w:after="60" w:before="120"/>
      </w:pPr>
      <w:r>
        <w:rPr>
          <w:rFonts w:ascii="Times New Roman" w:hAnsi="Times New Roman" w:eastAsia="Times New Roman"/>
          <w:b/>
          <w:i w:val="0"/>
          <w:sz w:val="26"/>
        </w:rPr>
        <w:t xml:space="preserve">Appendix C: Additional Ablation Results (Earlier Pipeline)</w:t>
      </w:r>
    </w:p>
    <w:p>
      <w:pPr>
        <w:pStyle w:val="FirstParagraph"/>
        <w:spacing w:line="480" w:lineRule="auto" w:after="0" w:before="0"/>
      </w:pPr>
      <w:r>
        <w:rPr>
          <w:rFonts w:ascii="Times New Roman" w:hAnsi="Times New Roman" w:eastAsia="Times New Roman"/>
          <w:sz w:val="24"/>
        </w:rPr>
        <w:t xml:space="preserve">The four experiments below were conducted with an earlier evaluation pipeline prior to the adoption of the val_best checkpoint and unified 955-building evaluation. The directions of degradation are reliable, but exact NRMSE values carry approximately ±0.3 pp additional uncertainty relative to Table 3 and Table 5.</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pPr>
            <w:r>
              <w:rPr>
                <w:rFonts w:ascii="Times New Roman" w:hAnsi="Times New Roman" w:eastAsia="Times New Roman"/>
                <w:sz w:val="20"/>
              </w:rPr>
              <w:t xml:space="preserve">Experiment</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Δ baseline</w:t>
            </w:r>
          </w:p>
        </w:tc>
        <w:tc>
          <w:tcPr/>
          <w:p>
            <w:pPr>
              <w:pStyle w:val="Compact"/>
              <w:spacing w:line="240" w:lineRule="auto" w:after="20" w:before="0"/>
            </w:pPr>
            <w:r>
              <w:rPr>
                <w:rFonts w:ascii="Times New Roman" w:hAnsi="Times New Roman" w:eastAsia="Times New Roman"/>
                <w:sz w:val="20"/>
              </w:rPr>
              <w:t xml:space="preserve">Note</w:t>
            </w:r>
          </w:p>
        </w:tc>
      </w:tr>
      <w:tr>
        <w:tc>
          <w:tcPr/>
          <w:p>
            <w:pPr>
              <w:pStyle w:val="Compact"/>
              <w:spacing w:line="240" w:lineRule="auto" w:after="20" w:before="0"/>
            </w:pPr>
            <w:r>
              <w:rPr>
                <w:rFonts w:ascii="Times New Roman" w:hAnsi="Times New Roman" w:eastAsia="Times New Roman"/>
                <w:sz w:val="20"/>
              </w:rPr>
              <w:t xml:space="preserve">BB Box-Cox</w:t>
            </w:r>
          </w:p>
        </w:tc>
        <w:tc>
          <w:tcPr/>
          <w:p>
            <w:pPr>
              <w:pStyle w:val="Compact"/>
              <w:spacing w:line="240" w:lineRule="auto" w:after="20" w:before="0"/>
              <w:jc w:val="center"/>
            </w:pPr>
            <w:r>
              <w:rPr>
                <w:rFonts w:ascii="Times New Roman" w:hAnsi="Times New Roman" w:eastAsia="Times New Roman"/>
                <w:sz w:val="20"/>
              </w:rPr>
              <w:t xml:space="preserve">16.24</w:t>
            </w:r>
          </w:p>
        </w:tc>
        <w:tc>
          <w:tcPr/>
          <w:p>
            <w:pPr>
              <w:pStyle w:val="Compact"/>
              <w:spacing w:line="240" w:lineRule="auto" w:after="20" w:before="0"/>
              <w:jc w:val="center"/>
            </w:pPr>
            <w:r>
              <w:rPr>
                <w:rFonts w:ascii="Times New Roman" w:hAnsi="Times New Roman" w:eastAsia="Times New Roman"/>
                <w:sz w:val="20"/>
              </w:rPr>
              <w:t xml:space="preserve">+3.31</w:t>
            </w:r>
          </w:p>
        </w:tc>
        <w:tc>
          <w:tcPr/>
          <w:p>
            <w:pPr>
              <w:pStyle w:val="Compact"/>
              <w:spacing w:line="240" w:lineRule="auto" w:after="20" w:before="0"/>
            </w:pPr>
            <w:r>
              <w:rPr>
                <w:rFonts w:ascii="Times New Roman" w:hAnsi="Times New Roman" w:eastAsia="Times New Roman"/>
                <w:sz w:val="20"/>
              </w:rPr>
              <w:t xml:space="preserve">Box-Cox mismatch</w:t>
            </w:r>
          </w:p>
        </w:tc>
      </w:tr>
      <w:tr>
        <w:tc>
          <w:tcPr/>
          <w:p>
            <w:pPr>
              <w:pStyle w:val="Compact"/>
              <w:spacing w:line="240" w:lineRule="auto" w:after="20" w:before="0"/>
            </w:pPr>
            <w:r>
              <w:rPr>
                <w:rFonts w:ascii="Times New Roman" w:hAnsi="Times New Roman" w:eastAsia="Times New Roman"/>
                <w:sz w:val="20"/>
              </w:rPr>
              <w:t xml:space="preserve">4× tokens (168K steps)</w:t>
            </w:r>
          </w:p>
        </w:tc>
        <w:tc>
          <w:tcPr/>
          <w:p>
            <w:pPr>
              <w:pStyle w:val="Compact"/>
              <w:spacing w:line="240" w:lineRule="auto" w:after="20" w:before="0"/>
              <w:jc w:val="center"/>
            </w:pPr>
            <w:r>
              <w:rPr>
                <w:rFonts w:ascii="Times New Roman" w:hAnsi="Times New Roman" w:eastAsia="Times New Roman"/>
                <w:sz w:val="20"/>
              </w:rPr>
              <w:t xml:space="preserve">16.02</w:t>
            </w:r>
          </w:p>
        </w:tc>
        <w:tc>
          <w:tcPr/>
          <w:p>
            <w:pPr>
              <w:pStyle w:val="Compact"/>
              <w:spacing w:line="240" w:lineRule="auto" w:after="20" w:before="0"/>
              <w:jc w:val="center"/>
            </w:pPr>
            <w:r>
              <w:rPr>
                <w:rFonts w:ascii="Times New Roman" w:hAnsi="Times New Roman" w:eastAsia="Times New Roman"/>
                <w:sz w:val="20"/>
              </w:rPr>
              <w:t xml:space="preserve">+3.09</w:t>
            </w:r>
          </w:p>
        </w:tc>
        <w:tc>
          <w:tcPr/>
          <w:p>
            <w:pPr>
              <w:pStyle w:val="Compact"/>
              <w:spacing w:line="240" w:lineRule="auto" w:after="20" w:before="0"/>
            </w:pPr>
            <w:r>
              <w:rPr>
                <w:rFonts w:ascii="Times New Roman" w:hAnsi="Times New Roman" w:eastAsia="Times New Roman"/>
                <w:sz w:val="20"/>
              </w:rPr>
              <w:t xml:space="preserve">Synthetic overfitting</w:t>
            </w:r>
          </w:p>
        </w:tc>
      </w:tr>
      <w:tr>
        <w:tc>
          <w:tcPr/>
          <w:p>
            <w:pPr>
              <w:pStyle w:val="Compact"/>
              <w:spacing w:line="240" w:lineRule="auto" w:after="20" w:before="0"/>
            </w:pPr>
            <w:r>
              <w:rPr>
                <w:rFonts w:ascii="Times New Roman" w:hAnsi="Times New Roman" w:eastAsia="Times New Roman"/>
                <w:sz w:val="20"/>
              </w:rPr>
              <w:t xml:space="preserve">5K cap (70K buildings)</w:t>
            </w:r>
          </w:p>
        </w:tc>
        <w:tc>
          <w:tcPr/>
          <w:p>
            <w:pPr>
              <w:pStyle w:val="Compact"/>
              <w:spacing w:line="240" w:lineRule="auto" w:after="20" w:before="0"/>
              <w:jc w:val="center"/>
            </w:pPr>
            <w:r>
              <w:rPr>
                <w:rFonts w:ascii="Times New Roman" w:hAnsi="Times New Roman" w:eastAsia="Times New Roman"/>
                <w:sz w:val="20"/>
              </w:rPr>
              <w:t xml:space="preserve">15.35</w:t>
            </w:r>
          </w:p>
        </w:tc>
        <w:tc>
          <w:tcPr/>
          <w:p>
            <w:pPr>
              <w:pStyle w:val="Compact"/>
              <w:spacing w:line="240" w:lineRule="auto" w:after="20" w:before="0"/>
              <w:jc w:val="center"/>
            </w:pPr>
            <w:r>
              <w:rPr>
                <w:rFonts w:ascii="Times New Roman" w:hAnsi="Times New Roman" w:eastAsia="Times New Roman"/>
                <w:sz w:val="20"/>
              </w:rPr>
              <w:t xml:space="preserve">+2.42</w:t>
            </w:r>
          </w:p>
        </w:tc>
        <w:tc>
          <w:tcPr/>
          <w:p>
            <w:pPr>
              <w:pStyle w:val="Compact"/>
              <w:spacing w:line="240" w:lineRule="auto" w:after="20" w:before="0"/>
            </w:pPr>
            <w:r>
              <w:rPr>
                <w:rFonts w:ascii="Times New Roman" w:hAnsi="Times New Roman" w:eastAsia="Times New Roman"/>
                <w:sz w:val="20"/>
              </w:rPr>
              <w:t xml:space="preserve">Fixed-budget undersampling</w:t>
            </w:r>
          </w:p>
        </w:tc>
      </w:tr>
      <w:tr>
        <w:tc>
          <w:tcPr/>
          <w:p>
            <w:pPr>
              <w:pStyle w:val="Compact"/>
              <w:spacing w:line="240" w:lineRule="auto" w:after="20" w:before="0"/>
            </w:pPr>
            <w:r>
              <w:rPr>
                <w:rFonts w:ascii="Times New Roman" w:hAnsi="Times New Roman" w:eastAsia="Times New Roman"/>
                <w:sz w:val="20"/>
              </w:rPr>
              <w:t xml:space="preserve">Seasonal decomp + RevIN</w:t>
            </w:r>
          </w:p>
        </w:tc>
        <w:tc>
          <w:tcPr/>
          <w:p>
            <w:pPr>
              <w:pStyle w:val="Compact"/>
              <w:spacing w:line="240" w:lineRule="auto" w:after="20" w:before="0"/>
              <w:jc w:val="center"/>
            </w:pPr>
            <w:r>
              <w:rPr>
                <w:rFonts w:ascii="Times New Roman" w:hAnsi="Times New Roman" w:eastAsia="Times New Roman"/>
                <w:sz w:val="20"/>
              </w:rPr>
              <w:t xml:space="preserve">16.65</w:t>
            </w:r>
          </w:p>
        </w:tc>
        <w:tc>
          <w:tcPr/>
          <w:p>
            <w:pPr>
              <w:pStyle w:val="Compact"/>
              <w:spacing w:line="240" w:lineRule="auto" w:after="20" w:before="0"/>
              <w:jc w:val="center"/>
            </w:pPr>
            <w:r>
              <w:rPr>
                <w:rFonts w:ascii="Times New Roman" w:hAnsi="Times New Roman" w:eastAsia="Times New Roman"/>
                <w:sz w:val="20"/>
              </w:rPr>
              <w:t xml:space="preserve">+3.72</w:t>
            </w:r>
          </w:p>
        </w:tc>
        <w:tc>
          <w:tcPr/>
          <w:p>
            <w:pPr>
              <w:pStyle w:val="Compact"/>
              <w:spacing w:line="240" w:lineRule="auto" w:after="20" w:before="0"/>
            </w:pPr>
            <w:r>
              <w:rPr>
                <w:rFonts w:ascii="Times New Roman" w:hAnsi="Times New Roman" w:eastAsia="Times New Roman"/>
                <w:sz w:val="20"/>
              </w:rPr>
              <w:t xml:space="preserve">Seasonality disruption</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Each failure mode reflects a distinct mechanism. (1) Replacing the Korean-fitted Box-Cox parameters with the BB-fitted values maps Korean load magnitudes into a different region of the transformed space, causing a systematic mismatch between the training distribution and the expected input range (+3.31 pp). (2) Extending training to 168K steps (~84 epochs over 700 buildings) allows the model to memorize simulation-specific schedule artifacts—ramp shapes, exact transition widths, and load plateaus—that do not generalize to real buildings (+3.09 pp). (3) Scaling to 70,000 buildings with the same 18,000-step budget reduces each building’s contribution to roughly 0.03 sampled training windows on average, insufficient to learn building-specific patterns while still constrained by the same total optimization budget (+2.42 pp). (4) Applying seasonal decomposition before RevIN separates trend and seasonal components, disrupting the temporal shape diversity that LHS is designed to provide; when RevIN subsequently normalizes the residual, the model loses access to the periodicity signals that aid OOD generalization (+3.72 pp).</w:t>
      </w:r>
    </w:p>
    <w:p>
      <w:pPr>
        <w:spacing w:line="480" w:lineRule="auto" w:after="0" w:before="0"/>
      </w:pPr>
      <w:r>
        <w:rPr>
          <w:rFonts w:ascii="Times New Roman" w:hAnsi="Times New Roman" w:eastAsia="Times New Roman"/>
          <w:sz w:val="24"/>
        </w:rPr>
        <w:pict>
          <v:rect style="width:0;height:1.5pt" o:hralign="center" o:hrstd="t" o:hr="t"/>
        </w:pict>
      </w:r>
    </w:p>
    <w:bookmarkEnd w:id="45"/>
    <w:bookmarkStart w:id="46" w:name="figures"/>
    <w:p>
      <w:pPr>
        <w:pStyle w:val="Heading2"/>
        <w:keepNext/>
        <w:spacing w:line="480" w:lineRule="auto" w:after="60" w:before="120"/>
      </w:pPr>
      <w:r>
        <w:rPr>
          <w:rFonts w:ascii="Times New Roman" w:hAnsi="Times New Roman" w:eastAsia="Times New Roman"/>
          <w:b/>
          <w:i w:val="0"/>
          <w:sz w:val="26"/>
        </w:rPr>
        <w:t xml:space="preserve">Figures</w:t>
      </w:r>
    </w:p>
    <w:p>
      <w:pPr>
        <w:spacing w:line="240" w:lineRule="auto" w:after="60" w:before="240"/>
        <w:jc w:val="center"/>
      </w:pPr>
      <w:r>
        <w:drawing>
          <wp:inline>
            <wp:extent cx="5400000" cy="1515108"/>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400000" cy="1515108"/>
                    </a:xfrm>
                    <a:prstGeom prst="rect"/>
                  </pic:spPr>
                </pic:pic>
              </a:graphicData>
            </a:graphic>
          </wp:inline>
        </w:drawing>
      </w:r>
    </w:p>
    <w:p>
      <w:pPr>
        <w:pStyle w:val="FirstParagraph"/>
        <w:spacing w:line="240" w:lineRule="auto" w:after="40" w:before="240"/>
      </w:pPr>
      <w:r>
        <w:rPr>
          <w:rFonts w:ascii="Times New Roman" w:hAnsi="Times New Roman" w:eastAsia="Times New Roman"/>
          <w:b w:val="0"/>
          <w:bCs/>
          <w:sz w:val="22"/>
        </w:rPr>
        <w:t xml:space="preserve">Fig. 1.</w:t>
      </w:r>
      <w:r>
        <w:rPr>
          <w:rFonts w:ascii="Times New Roman" w:hAnsi="Times New Roman" w:eastAsia="Times New Roman"/>
          <w:b w:val="0"/>
          <w:sz w:val="22"/>
        </w:rPr>
        <w:t xml:space="preserve"> </w:t>
      </w:r>
      <w:r>
        <w:rPr>
          <w:rFonts w:ascii="Times New Roman" w:hAnsi="Times New Roman" w:eastAsia="Times New Roman"/>
          <w:b w:val="0"/>
          <w:sz w:val="22"/>
        </w:rPr>
        <w:t xml:space="preserve">End-to-end pipeline: from building archetype selection and 12D LHS parameter sampling through EnergyPlus simulation, Box-Cox normalization, RevIN-equipped Transformer training, to zero-shot inference without geographic information.</w:t>
      </w:r>
    </w:p>
    <w:p>
      <w:pPr>
        <w:spacing w:line="240" w:lineRule="auto" w:after="60" w:before="240"/>
        <w:jc w:val="center"/>
      </w:pPr>
      <w:r>
        <w:drawing>
          <wp:inline>
            <wp:extent cx="5400000" cy="2915158"/>
            <wp:docPr id="2" name="Picture 2"/>
            <wp:cNvGraphicFramePr>
              <a:graphicFrameLocks noChangeAspect="1"/>
            </wp:cNvGraphicFramePr>
            <a:graphic>
              <a:graphicData uri="http://schemas.openxmlformats.org/drawingml/2006/picture">
                <pic:pic>
                  <pic:nvPicPr>
                    <pic:cNvPr id="0" name="fig2_comparison.png"/>
                    <pic:cNvPicPr/>
                  </pic:nvPicPr>
                  <pic:blipFill>
                    <a:blip r:embed="rId10"/>
                    <a:stretch>
                      <a:fillRect/>
                    </a:stretch>
                  </pic:blipFill>
                  <pic:spPr>
                    <a:xfrm>
                      <a:off x="0" y="0"/>
                      <a:ext cx="5400000" cy="2915158"/>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2.</w:t>
      </w:r>
      <w:r>
        <w:rPr>
          <w:rFonts w:ascii="Times New Roman" w:hAnsi="Times New Roman" w:eastAsia="Times New Roman"/>
          <w:b w:val="0"/>
          <w:sz w:val="22"/>
        </w:rPr>
        <w:t xml:space="preserve"> </w:t>
      </w:r>
      <w:r>
        <w:rPr>
          <w:rFonts w:ascii="Times New Roman" w:hAnsi="Times New Roman" w:eastAsia="Times New Roman"/>
          <w:b w:val="0"/>
          <w:sz w:val="22"/>
        </w:rPr>
        <w:t xml:space="preserve">Zero-shot load forecasting performance (NRMSE, %) across model configurations on the 955-building evaluation set (U.S. commercial buildings and Portuguese electricity consumers). The dashed line indicates the BB-900K baseline (13.27%). Korean-700 (RevIN ON, aug) achieves a five-seed mean of 13.11%, 0.16 pp below the baseline, with the best seed reaching 12.93%. The paired per-building comparison is reported in Section 4.1.</w:t>
      </w:r>
    </w:p>
    <w:p>
      <w:pPr>
        <w:spacing w:line="240" w:lineRule="auto" w:after="60" w:before="240"/>
        <w:jc w:val="center"/>
      </w:pPr>
      <w:r>
        <w:drawing>
          <wp:inline>
            <wp:extent cx="5400000" cy="3214892"/>
            <wp:docPr id="3" name="Picture 3"/>
            <wp:cNvGraphicFramePr>
              <a:graphicFrameLocks noChangeAspect="1"/>
            </wp:cNvGraphicFramePr>
            <a:graphic>
              <a:graphicData uri="http://schemas.openxmlformats.org/drawingml/2006/picture">
                <pic:pic>
                  <pic:nvPicPr>
                    <pic:cNvPr id="0" name="fig3_nscaling_new.png"/>
                    <pic:cNvPicPr/>
                  </pic:nvPicPr>
                  <pic:blipFill>
                    <a:blip r:embed="rId11"/>
                    <a:stretch>
                      <a:fillRect/>
                    </a:stretch>
                  </pic:blipFill>
                  <pic:spPr>
                    <a:xfrm>
                      <a:off x="0" y="0"/>
                      <a:ext cx="5400000" cy="3214892"/>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3.</w:t>
      </w:r>
      <w:r>
        <w:rPr>
          <w:rFonts w:ascii="Times New Roman" w:hAnsi="Times New Roman" w:eastAsia="Times New Roman"/>
          <w:b w:val="0"/>
          <w:sz w:val="22"/>
        </w:rPr>
        <w:t xml:space="preserve"> </w:t>
      </w:r>
      <w:r>
        <w:rPr>
          <w:rFonts w:ascii="Times New Roman" w:hAnsi="Times New Roman" w:eastAsia="Times New Roman"/>
          <w:b w:val="0"/>
          <w:sz w:val="22"/>
        </w:rPr>
        <w:t xml:space="preserve">N-scaling curve showing NRMSE as a function of the number of training buildings (seed = 42). Performance reaches the BB-900K baseline from 70 buildings (n = 5, seed 42: 13.24%, five-seed mean: 13.28 ± 0.12%), with gains becoming incremental beyond 140 buildings (n = 10). The BB-900K baseline (13.27%) is shown for reference.</w:t>
      </w:r>
    </w:p>
    <w:p>
      <w:pPr>
        <w:spacing w:line="240" w:lineRule="auto" w:after="60" w:before="240"/>
        <w:jc w:val="center"/>
      </w:pPr>
      <w:r>
        <w:drawing>
          <wp:inline>
            <wp:extent cx="5400000" cy="3273839"/>
            <wp:docPr id="4" name="Picture 4"/>
            <wp:cNvGraphicFramePr>
              <a:graphicFrameLocks noChangeAspect="1"/>
            </wp:cNvGraphicFramePr>
            <a:graphic>
              <a:graphicData uri="http://schemas.openxmlformats.org/drawingml/2006/picture">
                <pic:pic>
                  <pic:nvPicPr>
                    <pic:cNvPr id="0" name="fig4_revin_asymmetry.png"/>
                    <pic:cNvPicPr/>
                  </pic:nvPicPr>
                  <pic:blipFill>
                    <a:blip r:embed="rId12"/>
                    <a:stretch>
                      <a:fillRect/>
                    </a:stretch>
                  </pic:blipFill>
                  <pic:spPr>
                    <a:xfrm>
                      <a:off x="0" y="0"/>
                      <a:ext cx="5400000" cy="3273839"/>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4.</w:t>
      </w:r>
      <w:r>
        <w:rPr>
          <w:rFonts w:ascii="Times New Roman" w:hAnsi="Times New Roman" w:eastAsia="Times New Roman"/>
          <w:b w:val="0"/>
          <w:sz w:val="22"/>
        </w:rPr>
        <w:t xml:space="preserve"> </w:t>
      </w:r>
      <w:r>
        <w:rPr>
          <w:rFonts w:ascii="Times New Roman" w:hAnsi="Times New Roman" w:eastAsia="Times New Roman"/>
          <w:b w:val="0"/>
          <w:sz w:val="22"/>
        </w:rPr>
        <w:t xml:space="preserve">RevIN’s regime-dependent effect. Korean-700 bars use five-seed means; BB-700 and BB-900K bars use seed-42 runs. Green arrows indicate lower NRMSE; red indicates degradation.</w:t>
      </w:r>
    </w:p>
    <w:bookmarkEnd w:id="46"/>
    <w:bookmarkEnd w:id="47"/>
    <w:sectPr>
      <w:footnotePr>
        <w:numRestart w:val="eachSect"/>
      </w:footnotePr>
      <w:pgSz w:w="11906" w:h="16838"/>
      <w:pgMar w:top="1417" w:bottom="1417" w:left="1701" w:right="1417"/>
      <w:lnNumType w:countBy="1" w:restart="newPage" w:start="0" w:distan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2026-05-04T06:42:54Z</dcterms:created>
  <dcterms:modified xsi:type="dcterms:W3CDTF">2026-05-04T06:42:54Z</dcterms:modified>
</cp:coreProperties>
</file>

<file path=docProps/custom.xml><?xml version="1.0" encoding="utf-8"?>
<Properties xmlns="http://schemas.openxmlformats.org/officeDocument/2006/custom-properties" xmlns:vt="http://schemas.openxmlformats.org/officeDocument/2006/docPropsVTypes"/>
</file>