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2026-05-02</w:t>
      </w:r>
    </w:p>
    <w:p>
      <w:pPr>
        <w:pStyle w:val="BodyText"/>
      </w:pPr>
      <w:r>
        <w:t xml:space="preserve">To the Editors of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</w:t>
      </w:r>
    </w:p>
    <w:p>
      <w:pPr>
        <w:pStyle w:val="BodyText"/>
      </w:pPr>
      <w:r>
        <w:t xml:space="preserve">We submit for your consideration the manuscript entitled:</w:t>
      </w:r>
    </w:p>
    <w:p>
      <w:pPr>
        <w:pStyle w:val="BodyText"/>
      </w:pPr>
      <w:r>
        <w:rPr>
          <w:b/>
          <w:bCs/>
        </w:rPr>
        <w:t xml:space="preserve">“Seven Hundred Simulations Suffice: Matching a 900,000-Building Foundation Model through Operational Diversity in Zero-Shot Load Forecasting”</w:t>
      </w:r>
    </w:p>
    <w:p>
      <w:pPr>
        <w:pStyle w:val="BodyText"/>
      </w:pPr>
      <w:r>
        <w:t xml:space="preserve">by Jeong-Uk Kim (Sangmyung University, South Korea).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Applied Energy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This journal’s focus on energy efficiency, intelligent building systems, and data-driven methods makes it the natural home for this work.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has published the foundational studies on building energy prediction, demand response, and simulation-based data generation that our paper directly builds upon and extends.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 of contributions</w:t>
      </w:r>
    </w:p>
    <w:p>
      <w:pPr>
        <w:pStyle w:val="BodyText"/>
      </w:pPr>
      <w:r>
        <w:t xml:space="preserve">Zero-shot building load forecasting—predicting energy use for previously unseen buildings without retraining—underpins grid-scale demand response and energy management. The prevailing approach, exemplified by BuildingsBench (NeurIPS 2023), achieves state-of-the-art accuracy (13.28% NRMSE on 955 commercial buildings) by training on 900,000 building simulations.</w:t>
      </w:r>
    </w:p>
    <w:p>
      <w:pPr>
        <w:pStyle w:val="BodyText"/>
      </w:pPr>
      <w:r>
        <w:t xml:space="preserve">We demonstrate that</w:t>
      </w:r>
      <w:r>
        <w:t xml:space="preserve"> </w:t>
      </w:r>
      <w:r>
        <w:rPr>
          <w:b/>
          <w:bCs/>
        </w:rPr>
        <w:t xml:space="preserve">data quality can substitute for data quantity</w:t>
      </w:r>
      <w:r>
        <w:t xml:space="preserve">: 700 EnergyPlus simulations, generated by sampling 14 building archetypes with 12-dimensional Latin Hypercube Sampling (LHS) to maximise operational diversity, achieve 13.11 ± 0.17% NRMSE (five-seed mean) on the identical 955-building evaluation set—matching the 900K-building SOTA within the inter-seed standard deviation. The best seed reaches 12.93%, surpassing SOTA by 0.34 percentage points.</w:t>
      </w:r>
    </w:p>
    <w:p>
      <w:pPr>
        <w:pStyle w:val="BodyText"/>
      </w:pPr>
      <w:r>
        <w:t xml:space="preserve">Four controlled findings are reported: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design dominates scale.</w:t>
      </w:r>
      <w:r>
        <w:t xml:space="preserve"> </w:t>
      </w:r>
      <w:r>
        <w:t xml:space="preserve">A matched 700-building comparison (Korean LHS vs. BuildingsBench subsampled) shows a 1.15 pp advantage with augmentation and 1.61 pp without, attributing the gap to LHS schedule design rather than normalisation or augmentation alone.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RevIN is scale-dependent.</w:t>
      </w:r>
      <w:r>
        <w:t xml:space="preserve"> </w:t>
      </w:r>
      <w:r>
        <w:t xml:space="preserve">Reversible Instance Normalisation reduces NRMSE by 1.61 pp on our 700-building corpus but increases it by 0.62 pp on the full 900K corpus—a previously unreported asymmetry with practical implications for foundation model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Rapid N-scaling saturation.</w:t>
      </w:r>
      <w:r>
        <w:t xml:space="preserve"> </w:t>
      </w:r>
      <w:r>
        <w:t xml:space="preserve">Seventy buildings (five per archetype) already match SOTA (13.28 ± 0.12%); diminishing returns set in beyond 140 buildings, suggesting that archetype coverage matters more than sample count.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Sim-to-real transfer.</w:t>
      </w:r>
      <w:r>
        <w:t xml:space="preserve"> </w:t>
      </w:r>
      <w:r>
        <w:t xml:space="preserve">Zero-shot inference on 218 real Korean convenience stores yields 12.30% versus 13.14% for BuildingsBench, providing preliminary evidence of simulation-to-reality generalisation.</w:t>
      </w:r>
    </w:p>
    <w:p>
      <w:pPr>
        <w:pStyle w:val="FirstParagraph"/>
      </w:pPr>
      <w:r>
        <w:t xml:space="preserve">Together, these findings substantially lower the data barrier for zero-shot building load forecasting and offer actionable guidance on simulation budget allocation.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Originality and ethics</w:t>
      </w:r>
    </w:p>
    <w:p>
      <w:pPr>
        <w:pStyle w:val="BodyText"/>
      </w:pPr>
      <w:r>
        <w:t xml:space="preserve">This manuscript has not been published previously, is not under review elsewhere, and all named authors have approved the submission. The convenience store dataset was collected under a data-sharing agreement with the data provider (written confirmation pending final submission). Code and model weights will be made available upon acceptance via a public GitHub repository.</w:t>
      </w:r>
    </w:p>
    <w:p>
      <w:pPr>
        <w:pStyle w:val="BodyText"/>
      </w:pPr>
      <w:r>
        <w:t xml:space="preserve">This research was supported by the Korea Institute of Energy Technology Evaluation and Planning (KETEP) grant funded by the Korean government (MOTIE), Grant No. RS-00238487.</w:t>
      </w:r>
    </w:p>
    <w:p>
      <w:pPr>
        <w:pStyle w:val="BodyText"/>
      </w:pPr>
      <w:r>
        <w:t xml:space="preserve">We suggest the following as potential reviewers, given their expertise in building energy forecasting and foundation models:</w:t>
      </w:r>
    </w:p>
    <w:p>
      <w:pPr>
        <w:pStyle w:val="Compact"/>
        <w:numPr>
          <w:ilvl w:val="0"/>
          <w:numId w:val="1002"/>
        </w:numPr>
      </w:pPr>
      <w:r>
        <w:t xml:space="preserve">Researchers active in the BuildingsBench benchmark community</w:t>
      </w:r>
    </w:p>
    <w:p>
      <w:pPr>
        <w:pStyle w:val="Compact"/>
        <w:numPr>
          <w:ilvl w:val="0"/>
          <w:numId w:val="1002"/>
        </w:numPr>
      </w:pPr>
      <w:r>
        <w:t xml:space="preserve">Researchers specialising in data-centric AI for energy systems</w:t>
      </w:r>
    </w:p>
    <w:p>
      <w:pPr>
        <w:pStyle w:val="Compact"/>
        <w:numPr>
          <w:ilvl w:val="0"/>
          <w:numId w:val="1002"/>
        </w:numPr>
      </w:pPr>
      <w:r>
        <w:t xml:space="preserve">Researchers with expertise in zero-shot and transfer learning for time-series forecasting</w:t>
      </w:r>
    </w:p>
    <w:p>
      <w:pPr>
        <w:pStyle w:val="FirstParagraph"/>
      </w:pPr>
      <w:r>
        <w:t xml:space="preserve">We have no conflicts of interest to declare.</w:t>
      </w:r>
    </w:p>
    <w:p>
      <w:pPr>
        <w:pStyle w:val="BodyText"/>
      </w:pPr>
      <w:r>
        <w:t xml:space="preserve">Corresponding author:</w:t>
      </w:r>
    </w:p>
    <w:p>
      <w:pPr>
        <w:pStyle w:val="BodyText"/>
      </w:pPr>
      <w:r>
        <w:rPr>
          <w:b/>
          <w:bCs/>
        </w:rPr>
        <w:t xml:space="preserve">Jeong-Uk Kim, Ph.D.</w:t>
      </w:r>
      <w:r>
        <w:br/>
      </w:r>
      <w:r>
        <w:t xml:space="preserve">Department of Electrical Engineering</w:t>
      </w:r>
      <w:r>
        <w:br/>
      </w:r>
      <w:r>
        <w:t xml:space="preserve">Sangmyung University</w:t>
      </w:r>
      <w:r>
        <w:br/>
      </w:r>
      <w:r>
        <w:t xml:space="preserve">Seoul 03016, South Korea</w:t>
      </w:r>
      <w:r>
        <w:br/>
      </w:r>
      <w:r>
        <w:t xml:space="preserve">E-mail: jukim@smu.ac.kr</w:t>
      </w:r>
      <w:r>
        <w:br/>
      </w:r>
      <w:r>
        <w:t xml:space="preserve">ORCID: 0000-0002-3839-3845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2026-05-02T00:04:23Z</dcterms:created>
  <dcterms:modified xsi:type="dcterms:W3CDTF">2026-05-02T00:04:23Z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