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Highlights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700 simulations reach benchmark-level accuracy using no geographic metadata</w:t>
      </w:r>
    </w:p>
    <w:p>
      <w:pPr>
        <w:pStyle w:val="ListBullet"/>
      </w:pPr>
      <w:r>
        <w:rPr>
          <w:rFonts w:ascii="Times New Roman" w:hAnsi="Times New Roman"/>
          <w:sz w:val="24"/>
        </w:rPr>
        <w:t>12D LHS yields broader operational diversity than stock-model sampling</w:t>
      </w:r>
    </w:p>
    <w:p>
      <w:pPr>
        <w:pStyle w:val="ListBullet"/>
      </w:pPr>
      <w:r>
        <w:rPr>
          <w:rFonts w:ascii="Times New Roman" w:hAnsi="Times New Roman"/>
          <w:sz w:val="24"/>
        </w:rPr>
        <w:t>RevIN improves 700-building models but degrades BB-900K retraining</w:t>
      </w:r>
    </w:p>
    <w:p>
      <w:pPr>
        <w:pStyle w:val="ListBullet"/>
      </w:pPr>
      <w:r>
        <w:rPr>
          <w:rFonts w:ascii="Times New Roman" w:hAnsi="Times New Roman"/>
          <w:sz w:val="24"/>
        </w:rPr>
        <w:t>Korean-weather training transfers zero-shot to U.S./Portuguese real loads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