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Editor-in-Chief Prof. Da Yan,</w:t>
      </w:r>
    </w:p>
    <w:p>
      <w:pPr>
        <w:pStyle w:val="BodyText"/>
      </w:pPr>
      <w:r>
        <w:t xml:space="preserve">I am submitting the enclosed manuscript entitled</w:t>
      </w:r>
      <w:r>
        <w:t xml:space="preserve"> </w:t>
      </w:r>
      <w:r>
        <w:t xml:space="preserve">“The Operational Diversity Hypothesis: Why Pattern Coverage, Not Corpus Scale, Governs Zero-Shot Building Load Forecasting”</w:t>
      </w:r>
      <w:r>
        <w:t xml:space="preserve"> </w:t>
      </w:r>
      <w:r>
        <w:t xml:space="preserve">for consideration as a Research Article in Building Simulation.</w:t>
      </w:r>
    </w:p>
    <w:p>
      <w:pPr>
        <w:pStyle w:val="BodyText"/>
      </w:pPr>
      <w:r>
        <w:t xml:space="preserve">This study addresses a fundamental question in building energy simulation for machine learning: does zero-shot load forecasting require massive synthetic training corpora, or can carefully designed simulations achieve comparable accuracy? We propose and test the Operational Diversity Hypothesis—that forecasting accuracy is governed by the diversity of temporal load patterns in the training data, not by corpus scale.</w:t>
      </w:r>
    </w:p>
    <w:p>
      <w:pPr>
        <w:pStyle w:val="BodyText"/>
      </w:pPr>
      <w:r>
        <w:t xml:space="preserve">Through controlled experiments using EnergyPlus simulations with 12-dimensional Latin Hypercube Sampling, we demonstrate that 700 operationally diverse buildings match the forecasting performance of a 900,000-building benchmark (BuildingsBench, NeurIPS 2023) on 955 real U.S. and Portuguese commercial buildings. Equal-scale comparisons isolate data design as the primary driver, and n-scaling analysis shows performance saturating at just 70 buildings—consistent with pattern-coverage-governed learning rather than sample-count scaling.</w:t>
      </w:r>
    </w:p>
    <w:p>
      <w:pPr>
        <w:pStyle w:val="BodyText"/>
      </w:pPr>
      <w:r>
        <w:t xml:space="preserve">We believe this work is well-suited to Building Simulation because:</w:t>
      </w:r>
    </w:p>
    <w:p>
      <w:pPr>
        <w:numPr>
          <w:ilvl w:val="0"/>
          <w:numId w:val="1001"/>
        </w:numPr>
      </w:pPr>
      <w:r>
        <w:t xml:space="preserve">The core contribution is a simulation design methodology—how to construct parametric EnergyPlus simulations that maximize the diversity of temporal load patterns for machine learning applications.</w:t>
      </w:r>
    </w:p>
    <w:p>
      <w:pPr>
        <w:numPr>
          <w:ilvl w:val="0"/>
          <w:numId w:val="1001"/>
        </w:numPr>
      </w:pPr>
      <w:r>
        <w:t xml:space="preserve">The findings have direct practical implications for the simulation community: a single workstation day of simulation suffices where national building stock databases were previously assumed necessary.</w:t>
      </w:r>
    </w:p>
    <w:p>
      <w:pPr>
        <w:numPr>
          <w:ilvl w:val="0"/>
          <w:numId w:val="1001"/>
        </w:numPr>
      </w:pPr>
      <w:r>
        <w:t xml:space="preserve">The paper demonstrates that the design of the simulation parameter space matters more than simulation volume, a principle relevant to many building simulation applications beyond load forecasting.</w:t>
      </w:r>
    </w:p>
    <w:p>
      <w:pPr>
        <w:pStyle w:val="FirstParagraph"/>
      </w:pPr>
      <w:r>
        <w:t xml:space="preserve">The manuscript has not been published elsewhere and is not under consideration by another journal. The author has approved the manuscript and agrees with its submission to Building Simulation.</w:t>
      </w:r>
    </w:p>
    <w:p>
      <w:pPr>
        <w:pStyle w:val="BodyText"/>
      </w:pPr>
      <w:r>
        <w:t xml:space="preserve">Thank you for considering this manuscript.</w:t>
      </w:r>
    </w:p>
    <w:p>
      <w:pPr>
        <w:pStyle w:val="BodyText"/>
      </w:pPr>
      <w:r>
        <w:t xml:space="preserve">Sincerely,</w:t>
      </w:r>
    </w:p>
    <w:p>
      <w:pPr>
        <w:pStyle w:val="BodyText"/>
      </w:pPr>
      <w:r>
        <w:t xml:space="preserve">Jeong-Uk Kim, Ph.D.</w:t>
      </w:r>
      <w:r>
        <w:t xml:space="preserve"> </w:t>
      </w:r>
      <w:r>
        <w:t xml:space="preserve">Associate Professor</w:t>
      </w:r>
      <w:r>
        <w:t xml:space="preserve"> </w:t>
      </w:r>
      <w:r>
        <w:t xml:space="preserve">Department of Electrical Engineering</w:t>
      </w:r>
      <w:r>
        <w:t xml:space="preserve"> </w:t>
      </w:r>
      <w:r>
        <w:t xml:space="preserve">Sangmyung University</w:t>
      </w:r>
      <w:r>
        <w:t xml:space="preserve"> </w:t>
      </w:r>
      <w:r>
        <w:t xml:space="preserve">Seoul 03016, South Korea</w:t>
      </w:r>
      <w:r>
        <w:t xml:space="preserve"> </w:t>
      </w:r>
      <w:r>
        <w:t xml:space="preserve">E-mail: jukim@smu.ac.kr</w:t>
      </w:r>
      <w:r>
        <w:t xml:space="preserve"> </w:t>
      </w:r>
      <w:r>
        <w:t xml:space="preserve">ORCID: 0000-0001-9576-8757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2026-05-07T10:38:43Z</dcterms:created>
  <dcterms:modified xsi:type="dcterms:W3CDTF">2026-05-07T10:38:43Z</dcterms:modified>
</cp:coreProperties>
</file>

<file path=docProps/custom.xml><?xml version="1.0" encoding="utf-8"?>
<Properties xmlns="http://schemas.openxmlformats.org/officeDocument/2006/custom-properties" xmlns:vt="http://schemas.openxmlformats.org/officeDocument/2006/docPropsVTypes"/>
</file>