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8D19" w14:textId="0B1C0D96" w:rsidR="002501CC" w:rsidRDefault="002501CC">
      <w:pPr>
        <w:rPr>
          <w:b/>
          <w:bCs/>
        </w:rPr>
      </w:pPr>
      <w:r>
        <w:rPr>
          <w:b/>
          <w:bCs/>
        </w:rPr>
        <w:t>External guidance links to be added as knowledge:</w:t>
      </w:r>
    </w:p>
    <w:p w14:paraId="27CAD0BA" w14:textId="280FABED" w:rsidR="00410391" w:rsidRDefault="000F0781">
      <w:pPr>
        <w:rPr>
          <w:b/>
          <w:bCs/>
        </w:rPr>
      </w:pPr>
      <w:r>
        <w:rPr>
          <w:b/>
          <w:bCs/>
        </w:rPr>
        <w:t xml:space="preserve">SEC </w:t>
      </w:r>
      <w:r w:rsidR="0041055C">
        <w:rPr>
          <w:b/>
          <w:bCs/>
        </w:rPr>
        <w:t xml:space="preserve">Regulation S-K Item 10(e): </w:t>
      </w:r>
      <w:hyperlink r:id="rId4" w:history="1">
        <w:proofErr w:type="spellStart"/>
        <w:proofErr w:type="gramStart"/>
        <w:r w:rsidR="0041055C" w:rsidRPr="0041055C">
          <w:rPr>
            <w:rStyle w:val="Hyperlink"/>
            <w:b/>
            <w:bCs/>
          </w:rPr>
          <w:t>eCFR</w:t>
        </w:r>
        <w:proofErr w:type="spellEnd"/>
        <w:r w:rsidR="0041055C" w:rsidRPr="0041055C">
          <w:rPr>
            <w:rStyle w:val="Hyperlink"/>
            <w:b/>
            <w:bCs/>
          </w:rPr>
          <w:t xml:space="preserve"> :</w:t>
        </w:r>
        <w:proofErr w:type="gramEnd"/>
        <w:r w:rsidR="0041055C" w:rsidRPr="0041055C">
          <w:rPr>
            <w:rStyle w:val="Hyperlink"/>
            <w:b/>
            <w:bCs/>
          </w:rPr>
          <w:t>: 17 CFR 229.10 -- (Item 10) General.</w:t>
        </w:r>
      </w:hyperlink>
    </w:p>
    <w:p w14:paraId="3FE9C489" w14:textId="5E0BCF58" w:rsidR="00410391" w:rsidRDefault="000F0781">
      <w:pPr>
        <w:rPr>
          <w:b/>
          <w:bCs/>
        </w:rPr>
      </w:pPr>
      <w:r>
        <w:rPr>
          <w:b/>
          <w:bCs/>
        </w:rPr>
        <w:t xml:space="preserve">SEC </w:t>
      </w:r>
      <w:r w:rsidR="0041055C">
        <w:rPr>
          <w:b/>
          <w:bCs/>
        </w:rPr>
        <w:t xml:space="preserve">Regulation G: </w:t>
      </w:r>
      <w:hyperlink r:id="rId5" w:history="1">
        <w:proofErr w:type="spellStart"/>
        <w:proofErr w:type="gramStart"/>
        <w:r w:rsidR="00410391" w:rsidRPr="00410391">
          <w:rPr>
            <w:rStyle w:val="Hyperlink"/>
            <w:b/>
            <w:bCs/>
          </w:rPr>
          <w:t>eCFR</w:t>
        </w:r>
        <w:proofErr w:type="spellEnd"/>
        <w:r w:rsidR="00410391" w:rsidRPr="00410391">
          <w:rPr>
            <w:rStyle w:val="Hyperlink"/>
            <w:b/>
            <w:bCs/>
          </w:rPr>
          <w:t xml:space="preserve"> :</w:t>
        </w:r>
        <w:proofErr w:type="gramEnd"/>
        <w:r w:rsidR="00410391" w:rsidRPr="00410391">
          <w:rPr>
            <w:rStyle w:val="Hyperlink"/>
            <w:b/>
            <w:bCs/>
          </w:rPr>
          <w:t>: 17 CFR Part 244 -- Regulation G</w:t>
        </w:r>
      </w:hyperlink>
    </w:p>
    <w:p w14:paraId="501B9737" w14:textId="52F7F664" w:rsidR="002501CC" w:rsidRDefault="000F0781">
      <w:pPr>
        <w:rPr>
          <w:b/>
          <w:bCs/>
        </w:rPr>
      </w:pPr>
      <w:r>
        <w:rPr>
          <w:b/>
          <w:bCs/>
        </w:rPr>
        <w:t xml:space="preserve">SEC CFIs: </w:t>
      </w:r>
      <w:hyperlink r:id="rId6" w:history="1">
        <w:r w:rsidR="00410391" w:rsidRPr="00410391">
          <w:rPr>
            <w:rStyle w:val="Hyperlink"/>
            <w:b/>
            <w:bCs/>
          </w:rPr>
          <w:t>SEC.gov | Non-GAAP Financial Measures</w:t>
        </w:r>
      </w:hyperlink>
    </w:p>
    <w:p w14:paraId="55BB6D12" w14:textId="21B3D49C" w:rsidR="000F0781" w:rsidRDefault="000F0781">
      <w:pPr>
        <w:rPr>
          <w:b/>
          <w:bCs/>
        </w:rPr>
      </w:pPr>
      <w:r>
        <w:rPr>
          <w:b/>
          <w:bCs/>
        </w:rPr>
        <w:t xml:space="preserve">Big 4 </w:t>
      </w:r>
      <w:r w:rsidR="003C589D">
        <w:rPr>
          <w:b/>
          <w:bCs/>
        </w:rPr>
        <w:t xml:space="preserve">free </w:t>
      </w:r>
      <w:r>
        <w:rPr>
          <w:b/>
          <w:bCs/>
        </w:rPr>
        <w:t>interpretive guidance:</w:t>
      </w:r>
      <w:r w:rsidR="003C589D">
        <w:rPr>
          <w:b/>
          <w:bCs/>
        </w:rPr>
        <w:t xml:space="preserve"> </w:t>
      </w:r>
      <w:hyperlink r:id="rId7" w:history="1">
        <w:r w:rsidR="003C589D" w:rsidRPr="003C589D">
          <w:rPr>
            <w:rStyle w:val="Hyperlink"/>
            <w:b/>
            <w:bCs/>
          </w:rPr>
          <w:t>Non-GAAP Financial Measures and Metrics (October 2025) | DART – Deloitte Accounting Research Tool</w:t>
        </w:r>
      </w:hyperlink>
      <w:r w:rsidR="003C589D">
        <w:rPr>
          <w:b/>
          <w:bCs/>
        </w:rPr>
        <w:t xml:space="preserve">; </w:t>
      </w:r>
      <w:hyperlink r:id="rId8" w:history="1">
        <w:r w:rsidR="00163542" w:rsidRPr="00163542">
          <w:rPr>
            <w:rStyle w:val="Hyperlink"/>
            <w:b/>
            <w:bCs/>
          </w:rPr>
          <w:t>Handbook: Non-GAAP Financial Measures</w:t>
        </w:r>
      </w:hyperlink>
    </w:p>
    <w:p w14:paraId="6BAEB285" w14:textId="77777777" w:rsidR="00E73E65" w:rsidRDefault="00E73E65">
      <w:pPr>
        <w:rPr>
          <w:b/>
          <w:bCs/>
        </w:rPr>
      </w:pPr>
    </w:p>
    <w:p w14:paraId="16D8BF0A" w14:textId="2C3F97A0" w:rsidR="002501CC" w:rsidRPr="002501CC" w:rsidRDefault="002501CC">
      <w:pPr>
        <w:rPr>
          <w:b/>
          <w:bCs/>
        </w:rPr>
      </w:pPr>
      <w:r w:rsidRPr="002501CC">
        <w:rPr>
          <w:b/>
          <w:bCs/>
        </w:rPr>
        <w:t>Proposed edits to functionality:</w:t>
      </w:r>
    </w:p>
    <w:p w14:paraId="7F83462E" w14:textId="4790BE13" w:rsidR="001A2112" w:rsidRDefault="00CB349B">
      <w:r>
        <w:t xml:space="preserve">Document library and Transcript Analyzer - </w:t>
      </w:r>
      <w:r w:rsidR="003673BE">
        <w:t>Is there a way for me to provide the non-GAAP/KPI recognition tool external guidance available on non-GAAP measures so it has that as a basis for its scan and flagging of non-GAAP/GAAP items.</w:t>
      </w:r>
    </w:p>
    <w:p w14:paraId="1E6743D9" w14:textId="46EA9F0E" w:rsidR="007C4973" w:rsidRDefault="007C4973">
      <w:r>
        <w:t>Document library – Can we update the logic behind the non-GAAP identification to make it so that it picks up the full operating statements and so that we can adjust the flags (i.e. GAAP vs. non-GAAP, Profitability, Liquidity etc.</w:t>
      </w:r>
    </w:p>
    <w:p w14:paraId="2E3AAEFC" w14:textId="63F3D3D2" w:rsidR="00C3758D" w:rsidRDefault="00C3758D">
      <w:r>
        <w:t xml:space="preserve">SEC/non-GAAP compliance – Can we make it such that the tool logs </w:t>
      </w:r>
      <w:r w:rsidR="00D9626C">
        <w:t>the results of the non-GAAP checklist considerations for each entry</w:t>
      </w:r>
      <w:r w:rsidR="00360257">
        <w:t>?</w:t>
      </w:r>
    </w:p>
    <w:p w14:paraId="5BBEA2C1" w14:textId="2FB5A236" w:rsidR="003673BE" w:rsidRDefault="003673BE">
      <w:r>
        <w:t>Live transcription tab – any way for user to not have to re submit the “allow” selection for access to computer microphone?</w:t>
      </w:r>
    </w:p>
    <w:p w14:paraId="78D02385" w14:textId="4EB32B83" w:rsidR="003673BE" w:rsidRDefault="003673BE">
      <w:r>
        <w:t>Could free SEC filing API be leveraged to hook up to peer company filings and automatically extract their earnings announcements?</w:t>
      </w:r>
    </w:p>
    <w:p w14:paraId="4DA4F925" w14:textId="539369BF" w:rsidR="00F1313D" w:rsidRDefault="00F1313D">
      <w:r>
        <w:t>Tab visibility – Make peer comparison tab visible too as primary nav</w:t>
      </w:r>
    </w:p>
    <w:p w14:paraId="6FB4AC68" w14:textId="3A46BDC2" w:rsidR="007C4973" w:rsidRDefault="00B30EC1">
      <w:r>
        <w:t xml:space="preserve">Industry trends - Can we make it so that the tool will analyze the content uploaded and identify themes in the earnings transcript/Q&amp;A for each submission and then have it so that users can log the trend </w:t>
      </w:r>
      <w:r w:rsidR="00CB349B">
        <w:t xml:space="preserve">in the dashboard? Otherwise thinking </w:t>
      </w:r>
      <w:proofErr w:type="gramStart"/>
      <w:r w:rsidR="00CB349B">
        <w:t>maybe</w:t>
      </w:r>
      <w:proofErr w:type="gramEnd"/>
      <w:r w:rsidR="00CB349B">
        <w:t xml:space="preserve"> we </w:t>
      </w:r>
      <w:proofErr w:type="gramStart"/>
      <w:r>
        <w:t>remove</w:t>
      </w:r>
      <w:proofErr w:type="gramEnd"/>
      <w:r>
        <w:t xml:space="preserve"> industry trends tab</w:t>
      </w:r>
      <w:r w:rsidR="00CB349B">
        <w:t>.</w:t>
      </w:r>
    </w:p>
    <w:p w14:paraId="6E196950" w14:textId="77777777" w:rsidR="00F1313D" w:rsidRDefault="00F1313D"/>
    <w:p w14:paraId="709B403A" w14:textId="059BDD98" w:rsidR="002501CC" w:rsidRDefault="002501CC"/>
    <w:sectPr w:rsidR="00250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BE"/>
    <w:rsid w:val="000349C3"/>
    <w:rsid w:val="000F0781"/>
    <w:rsid w:val="00163542"/>
    <w:rsid w:val="001A2112"/>
    <w:rsid w:val="002501CC"/>
    <w:rsid w:val="00287ED0"/>
    <w:rsid w:val="00360257"/>
    <w:rsid w:val="003673BE"/>
    <w:rsid w:val="003C589D"/>
    <w:rsid w:val="00410391"/>
    <w:rsid w:val="0041055C"/>
    <w:rsid w:val="004335D6"/>
    <w:rsid w:val="007C4973"/>
    <w:rsid w:val="00894C84"/>
    <w:rsid w:val="00B30EC1"/>
    <w:rsid w:val="00C3758D"/>
    <w:rsid w:val="00CB349B"/>
    <w:rsid w:val="00D3110C"/>
    <w:rsid w:val="00D9626C"/>
    <w:rsid w:val="00E73E65"/>
    <w:rsid w:val="00F028D4"/>
    <w:rsid w:val="00F1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32D0"/>
  <w15:chartTrackingRefBased/>
  <w15:docId w15:val="{F2E8E8C5-C675-4448-84B8-C4C7F2B4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pmg.com/kpmg-us/content/dam/kpmg/frv/pdf/2026/non-gaap-financial-measures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rt.deloitte.com/USDART/pdf/50dfe830-7447-11e6-8f69-2dbf291c5ff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c.gov/rules-regulations/staff-guidance/corporation-finance-interpretations/non-gaap-financial-measures" TargetMode="External"/><Relationship Id="rId5" Type="http://schemas.openxmlformats.org/officeDocument/2006/relationships/hyperlink" Target="https://www.ecfr.gov/current/title-17/chapter-II/part-24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ecfr.gov/current/title-17/chapter-II/part-229/subpart-229.1/section-229.1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353</Words>
  <Characters>1783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Leanne Lamacchia</dc:creator>
  <cp:keywords/>
  <dc:description/>
  <cp:lastModifiedBy>Leanne Lamacchia</cp:lastModifiedBy>
  <cp:revision>16</cp:revision>
  <dcterms:created xsi:type="dcterms:W3CDTF">2026-09-24T17:50:00Z</dcterms:created>
  <dcterms:modified xsi:type="dcterms:W3CDTF">2026-09-28T17:44:00Z</dcterms:modified>
</cp:coreProperties>
</file>