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51"/>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-Chevron to Acquire Full Ownership of Beyond6 CNG Fueling Network</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ENP 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November 18, 2022 Friday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Normans Media Limited All Rights Reserved</w:t>
      </w:r>
    </w:p>
    <w:p>
      <w:pPr>
        <w:keepNext w:val="0"/>
        <w:spacing w:before="120" w:after="0" w:line="220" w:lineRule="atLeast"/>
        <w:ind w:left="0" w:right="0" w:firstLine="0"/>
        <w:jc w:val="left"/>
      </w:pPr>
      <w:r>
        <w:br/>
      </w:r>
      <w:r>
        <w:pict>
          <v:shape id="_x0000_i1026" type="#_x0000_t75" style="width:224.97pt;height:44.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1505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SAN RAMON, Calif.  HOUSTON - Chevron U.S.A. Inc., a subsidiary of Chevron Corporation (NYSE: CVX), announced it signed a definitive greement to acquire full ownership of Beyond6, LLC (B6) and its network of 55 compressed natural gas (CNG) stations across the United States from Chevron's current B6 co-owners, a subsidiary of Mercuria Energy Trading (Mercuria) and B6 CEO Andrew West.</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Chevron is complementing the strength of its traditional products business with new offerings that help customers support a lower carbon future, and renewable natural gas is an essential part of its portfolio of solutions. Through collaborations with Brightmark LLC and California Bioenergy LLC, Chevron is developing projects across the United States designed to convert fugitive methane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from dairies to a beneficial use as renewable natural gas, which can be considered carbon negative on a lifecycle basis under California's Low Carbon Fuel Standard. With this acquisition, Chevron can market the RNG it either produces or procures through a nationwide network of CNG locations.</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'Chevron has seen strong demand for our RNG-to-CNG fuel offering from new and existing customers,' said Andy Walz, Chevron's president of Americas Products. 'Because of its carbon negative attribute and the ability of fleet operators to efficiently adapt vehicles to run on CNG, renewable natural gas can be a lower carbon solution for fleets seeking to reduce their lifecycle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Mercuria and Chevron will enter into a long-term supply relationship to deliver renewable natural gas to Chevron as part of the transaction.</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'B6 represents a best-in-class operator in the build-out of a renewable natural gas network, and Mercuria has been excited to help the company grow from a stand-alone business to one that can help drive growth under Chevron,' said Brian A. Falik, Mercuria's chief investment officer. 'The partnership with Chevron has been a great success, and we look forward to helping them supply renewable fueling solutions to their customers.'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transaction is subject to customary closing conditions.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Chevron</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Chevron is one of the world's leading integrated energy companies. We believe affordable, reliable and ever-cleaner energy is essential to achieving a more prosperous and sustainable world. Chevron produces crude oil and natural gas; manufactures transportation fuels, lubricants, petrochemicals and additives; and develops technologies that enhance our business and the industry. We are focused on lowering the carbon intensity in our operations and growing lower carbon businesses along with our traditional business lines. More information about Chevron is available at </w:t>
      </w:r>
      <w:hyperlink r:id="rId10" w:history="1">
        <w:r>
          <w:rPr>
            <w:rFonts w:ascii="times" w:eastAsia="times" w:hAnsi="times" w:cs="times"/>
            <w:b w:val="0"/>
            <w:i/>
            <w:strike w:val="0"/>
            <w:noProof w:val="0"/>
            <w:color w:val="0077CC"/>
            <w:position w:val="0"/>
            <w:sz w:val="20"/>
            <w:u w:val="single"/>
            <w:shd w:val="clear" w:color="auto" w:fill="FFFFFF"/>
            <w:vertAlign w:val="baseline"/>
          </w:rPr>
          <w:t>www.chevron.com</w:t>
        </w:r>
      </w:hyperlink>
      <w:r>
        <w:rPr>
          <w:rFonts w:ascii="times" w:eastAsia="times" w:hAnsi="times" w:cs="times"/>
          <w:b w:val="0"/>
          <w:i w:val="0"/>
          <w:strike w:val="0"/>
          <w:noProof w:val="0"/>
          <w:color w:val="000000"/>
          <w:position w:val="0"/>
          <w:sz w:val="20"/>
          <w:u w:val="none"/>
          <w:vertAlign w:val="baseline"/>
        </w:rPr>
        <w: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Mercuria</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Founded in 2004, Mercuria is one of the largest independent energy and commodity groups in the world. As an integrated group, Mercuria is present all along the commodity value chain with activities forming a balanced combination of trading flows, strategic assets and structuring solutions. With more than USD 100 billion in turnover, Mercuria has become one of the most active players in the energy and renewables markets. Over the next five years, the company will direct half of its investment towards the energy transition. For more information, visit </w:t>
      </w:r>
      <w:hyperlink r:id="rId11" w:history="1">
        <w:r>
          <w:rPr>
            <w:rFonts w:ascii="times" w:eastAsia="times" w:hAnsi="times" w:cs="times"/>
            <w:b w:val="0"/>
            <w:i/>
            <w:strike w:val="0"/>
            <w:noProof w:val="0"/>
            <w:color w:val="0077CC"/>
            <w:position w:val="0"/>
            <w:sz w:val="20"/>
            <w:u w:val="single"/>
            <w:shd w:val="clear" w:color="auto" w:fill="FFFFFF"/>
            <w:vertAlign w:val="baseline"/>
          </w:rPr>
          <w:t>www.mercuria.com</w:t>
        </w:r>
      </w:hyperlink>
      <w:r>
        <w:rPr>
          <w:rFonts w:ascii="times" w:eastAsia="times" w:hAnsi="times" w:cs="times"/>
          <w:b w:val="0"/>
          <w:i w:val="0"/>
          <w:strike w:val="0"/>
          <w:noProof w:val="0"/>
          <w:color w:val="000000"/>
          <w:position w:val="0"/>
          <w:sz w:val="20"/>
          <w:u w:val="none"/>
          <w:vertAlign w:val="baseline"/>
        </w:rPr>
        <w: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CAUTIONARY STATEMENTS RELEVANT TO FORWARD-LOOKING INFORMATION FOR THE PURPOSE OF 'SAFE HARBOR' PROVISIONS OF THE PRIVATE SECURITIES LITIGATION REFORM ACT OF 1995</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news release contains forward-looking statements relating to Chevron's operations and energy transition plans that are based on management's current expectations, estimates and projections about the petroleum, chemicals and other energy-related industries. Words or phrases such as 'anticipates,' 'expects,' 'intends,' 'plans,' 'targets,' 'advances,' 'commits,' 'drives,' 'aims,' 'forecasts,' 'projects,' 'believes,' 'approaches,' 'seeks,' 'schedules,' 'estimates,' 'positions,' 'pursues,' 'may,' 'can,' 'could,' 'should,' 'will,' 'budgets,' 'outlook,' 'trends,' 'guidance,' 'focus,' 'on track,' 'goals,' 'objectives,' 'strategies,' 'opportunities,' 'poised,' 'potential,' 'ambitions,' 'aspires' and similar expressions are intended to identify such forward-looking statements. These statements are not guarantees of future performance and are subject to certain risks, uncertainties and other factors, many of which are beyond the company's control and are difficult to predict. Therefore, actual outcomes and results may differ materially from what is expressed or forecasted in such forward-looking statements. The reader should not place undue reliance on these forward-looking statements, which speak only as of the date of this news release. Unless legally required, Chevron undertakes no obligation to update publicly any forward-looking statements, whether as a result of new information, future events or otherwise.</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Among the important factors that could cause actual results to differ materially from those in the forward-looking statements are: changing crude oil and natural gas prices and demand for the company's products, and production curtailments due to market conditions; crude oil production quotas or other actions that might be imposed by the Organization of Petroleum Exporting Countries and other producing countries; technological advancements; changes to government policies in the countries in which the company operates; public health crises, such as pandemics (including coronavirus (COVID-19)) and epidemics, and any related government policies and actions; disruptions in the company's global supply chain, including supply chain constraints and escalation of the cost of goods and services; changing economic, regulatory and political environments in the various countries in which the company operates; general domestic and international economic and political conditions, including the military conflict between Russia and Ukraine and the global response to such conflict; changing refining, marketing and chemicals margins; actions of competitors or regulators; timing of exploration expenses; timing of crude oil liftings; the competitiveness of alternate-energy sources or product substitutes; development of large carbon capture and offset markets; the results of operations and financial condition of the company's suppliers, vendors, partners and equity affiliates, particularly during the COVID-19 pandemic; the inability or failure of the company's joint-venture partners to fund their share of operations and development activities; the potential failure to achieve expected net production from existing and future crude oil and natural gas development projects; potential delays in the development, construction or start-up of planned projects; the potential disruption or interruption of the company's operations due to war, accidents, political events, civil unrest, severe weather, cyber threats, terrorist acts, or other natural or human causes beyond the company's control; the potential liability for remedial actions or assessments under existing or future environmental regulations and litigation; significant operational, investment or product changes undertaken or required by existing or future environmental statutes and regulations, including international agreements and national or regional legislation and regulatory measures to limit or reduce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the potential liability resulting from pending or future litigation; the company's future acquisitions or dispositions of assets or shares or the delay or failure of such transactions to close based on required closing conditions; the potential for gains and losses from asset dispositions or impairments; government mandated sales, divestitures, recapitalizations, taxes and tax audits, tariffs, sanctions, changes in fiscal terms or restrictions on scope of company operations; foreign currency movements compared with the U.S. dollar; higher inflation and related impacts; material reductions in corporate liquidity and access to debt markets; the receipt of required Board authorizations to implement capital allocation strategies, including future stock repurchase programs and dividend payments; the effects of changed accounting rules under generally accepted accounting principles promulgated by rule-setting bodies; the company's ability to identify and mitigate the risks and hazards inherent in operating in the global energy industry; and the factors set forth under the heading 'Risk Factors' on pages 20 through 25 of the company's 2021 Annual Report on Form 10-K and in subsequent filings with the U.S. Securities and Exchange Commission. Other unpredictable or unknown factors not discussed in this news release could also have material adverse effects on forward-looking statements.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Tyler Kruzich</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Chevron</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External Affairs</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 </w:t>
      </w:r>
      <w:hyperlink r:id="rId12" w:history="1">
        <w:r>
          <w:rPr>
            <w:rFonts w:ascii="times" w:eastAsia="times" w:hAnsi="times" w:cs="times"/>
            <w:b w:val="0"/>
            <w:i/>
            <w:strike w:val="0"/>
            <w:noProof w:val="0"/>
            <w:color w:val="0077CC"/>
            <w:position w:val="0"/>
            <w:sz w:val="20"/>
            <w:u w:val="single"/>
            <w:shd w:val="clear" w:color="auto" w:fill="FFFFFF"/>
            <w:vertAlign w:val="baseline"/>
          </w:rPr>
          <w:t>TKruzich@chevron.com</w:t>
        </w:r>
      </w:hyperlink>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 (925) 549-8686</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Matthew Lauer</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Mercuria</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Public Affairs</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 </w:t>
      </w:r>
      <w:hyperlink r:id="rId13" w:history="1">
        <w:r>
          <w:rPr>
            <w:rFonts w:ascii="times" w:eastAsia="times" w:hAnsi="times" w:cs="times"/>
            <w:b w:val="0"/>
            <w:i/>
            <w:strike w:val="0"/>
            <w:noProof w:val="0"/>
            <w:color w:val="0077CC"/>
            <w:position w:val="0"/>
            <w:sz w:val="20"/>
            <w:u w:val="single"/>
            <w:shd w:val="clear" w:color="auto" w:fill="FFFFFF"/>
            <w:vertAlign w:val="baseline"/>
          </w:rPr>
          <w:t>MLauer@Mercuria.com</w:t>
        </w:r>
      </w:hyperlink>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 (703) 463-1841</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[Editorial queries for this story should be sent to </w:t>
      </w:r>
      <w:hyperlink r:id="rId14" w:history="1">
        <w:r>
          <w:rPr>
            <w:rFonts w:ascii="times" w:eastAsia="times" w:hAnsi="times" w:cs="times"/>
            <w:b w:val="0"/>
            <w:i/>
            <w:strike w:val="0"/>
            <w:noProof w:val="0"/>
            <w:color w:val="0077CC"/>
            <w:position w:val="0"/>
            <w:sz w:val="20"/>
            <w:u w:val="single"/>
            <w:shd w:val="clear" w:color="auto" w:fill="FFFFFF"/>
            <w:vertAlign w:val="baseline"/>
          </w:rPr>
          <w:t>newswire@enpublishing.co.uk</w:t>
        </w:r>
      </w:hyperlink>
      <w:r>
        <w:rPr>
          <w:rFonts w:ascii="times" w:eastAsia="times" w:hAnsi="times" w:cs="times"/>
          <w:b w:val="0"/>
          <w:i w:val="0"/>
          <w:strike w:val="0"/>
          <w:noProof w:val="0"/>
          <w:color w:val="000000"/>
          <w:position w:val="0"/>
          <w:sz w:val="20"/>
          <w:u w:val="none"/>
          <w:vertAlign w:val="baseline"/>
        </w:rPr>
        <w:t xml:space="preserve"> ]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November 18, 2022</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-Chevron to Acquire Full Ownership of Beyond6 CNG Fueling Network</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chevron.com" TargetMode="External" /><Relationship Id="rId11" Type="http://schemas.openxmlformats.org/officeDocument/2006/relationships/hyperlink" Target="http://www.mercuria.com" TargetMode="External" /><Relationship Id="rId12" Type="http://schemas.openxmlformats.org/officeDocument/2006/relationships/hyperlink" Target="mailto:TKruzich@chevron.com" TargetMode="External" /><Relationship Id="rId13" Type="http://schemas.openxmlformats.org/officeDocument/2006/relationships/hyperlink" Target="mailto:MLauer@Mercuria.com" TargetMode="External" /><Relationship Id="rId14" Type="http://schemas.openxmlformats.org/officeDocument/2006/relationships/hyperlink" Target="mailto:newswire@enpublishing.co.uk" TargetMode="External" /><Relationship Id="rId15" Type="http://schemas.openxmlformats.org/officeDocument/2006/relationships/theme" Target="theme/theme1.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6WM-HRP1-F0K1-N0F4-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-Chevron Invests in Carbon Capture and Removal Technology Company, Svante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189387194</vt:lpwstr>
  </property>
  <property fmtid="{D5CDD505-2E9C-101B-9397-08002B2CF9AE}" pid="3" name="LADocCount">
    <vt:lpwstr>1</vt:lpwstr>
  </property>
  <property fmtid="{D5CDD505-2E9C-101B-9397-08002B2CF9AE}" pid="4" name="UserPermID">
    <vt:lpwstr>urn:user:PA187706510</vt:lpwstr>
  </property>
</Properties>
</file>