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-ConocoPhillips to Present at Barclays Global CEO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-Power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27,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752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 ConocoPhillips (NYSE: COP) today announced that Ryan Lance, chairman and chief executive officer, will speak at the Barclays Global CEO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-Power Conference on Wednesday, September 5 at 9:45 a.m. EDT.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Investors can access a live audio webcast of the presentation at </w:t>
      </w:r>
      <w:hyperlink r:id="rId10" w:history="1">
        <w:r>
          <w:rPr>
            <w:rFonts w:ascii="times" w:eastAsia="times" w:hAnsi="times" w:cs="times"/>
            <w:b w:val="0"/>
            <w:i/>
            <w:strike w:val="0"/>
            <w:noProof w:val="0"/>
            <w:color w:val="0077CC"/>
            <w:position w:val="0"/>
            <w:sz w:val="20"/>
            <w:u w:val="single"/>
            <w:shd w:val="clear" w:color="auto" w:fill="FFFFFF"/>
            <w:vertAlign w:val="baseline"/>
          </w:rPr>
          <w:t>www.conocophillips.com/investor</w:t>
        </w:r>
      </w:hyperlink>
      <w:r>
        <w:rPr>
          <w:rFonts w:ascii="times" w:eastAsia="times" w:hAnsi="times" w:cs="times"/>
          <w:b w:val="0"/>
          <w:i w:val="0"/>
          <w:strike w:val="0"/>
          <w:noProof w:val="0"/>
          <w:color w:val="000000"/>
          <w:position w:val="0"/>
          <w:sz w:val="20"/>
          <w:u w:val="none"/>
          <w:vertAlign w:val="baseline"/>
        </w:rPr>
        <w:t>. An archived replay, presentation slides and a transcript of the webcast will be available shortly after the presentation.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ConocoPhillips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ConocoPhillips is the world's largest independent EP company based on production and proved reserves. Headquartered in Houston, Texas, ConocoPhillips had operations and activities in 17 countries, $ 69 billion of total assets, and approximately 11,200 employees as of June 30, 2018. Production excluding Libya averaged 1,216 MBOED for the six months ended June 30, 2018, and proved reserves were 5.0 billion BOE as of Dec. 31, 2017.</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281-293-2073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news release contains forward-looking statements. Forward-looking statements relate to future events and anticipated results of operations, business strategies, and other aspects of our operations or operating results. In many cases you can identify forward-looking statements by terminology such as 'anticipate,' 'estimate,' 'believe,' 'continue,' 'could,' 'intend,' 'may,' 'plan,' 'potential,' 'predict,' 'should,' 'will,' 'expect,' 'objective,' 'projection,' 'forecast,' 'goal,' 'guidance,' 'outlook,' 'effort,' 'on track,' 'target' and other similar words. However, the absence of these words does not mean that the statements are not forward-looking. Where, in any forward-looking statement, the company expresses an expectation or belief as to future results, such expectation or belief is expressed in good faith and believed to have a reasonable basis. However, there can be no assurance that such expectation or belief will result or be achieved. The actual results of operations can and will be affected by a variety of risks and other matters including, but not limited to changes in commodity prices; changes in expected levels of oil and gas reserves or production; operating hazards, drilling risks, unsuccessful exploratory activities; difficulties in developing new products and manufacturing processes; unexpected cost increases or technical difficulties in constructing, maintaining, or modifying company facilities; international monetary conditions and exchange rate fluctuations; changes in international trade relationships, including the imposition of trade restrictions or tariffs relating to crude oil, bitumen, natural gas, LNG, natural gas liquids and any materials or products (such as aluminum and steel) used in the operation of our business; our ability to liquidate the common stock issued to us by Cenovus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at prices we deem acceptable, or at all; our ability to complete our announced dispositions or acquisitions on the timeline currently anticipated, if at all; the possibility that regulatory approvals for our announced dispositions or acquisitions will not be received on a timely basis, if at all, or that such approvals may require modification to the terms of our announced dispositions, acquisitions or our remaining business; business disruptions during or following our announced dispositions or acquisitions, including the diversion of management time and attention; the ability to deploy net proceeds from our announced dispositions in the manner and timeframe we currently anticipate, if at all;potential liability for remedial actions under existing or future environmental regulations; potential liability resulting from pending or future litigation; limited access to capital or significantly higher cost of capital related to illiquidity or uncertainty in the domestic or international financial markets and general domestic and international economic and political conditions; as well as changes in tax, environmental and other laws applicable to our business. Other factors that could cause actual results to differ materially from those described in the forward-looking statements include other economic, business, competitive and/or regulatory factors affecting our business generally as set forth in our filings with the Securities and Exchange Commission (SEC). Unless legally required, ConocoPhillips undertakes no obligation to update publicly any forward-looking statements, whether as a result of new information, future events or otherwise.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-ConocoPhillips to Present at Barclays Global CEO Energy-Power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onocophillips.com/investor"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4D-48V1-JD3Y-Y4Y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Gibson Energy and USD Announce Joint Venture to Construct DRU at Hardisty Utilizing Innovative DRUbit„¢ Technology and Agreement with ConocoPhillips for 50,000 bbl/d of Capacity; Patented Diluent Recovery Unit Produces DRUbit„¢ Designed for Rail Transport and Reuse of Diluent Providing a Bitumen Market Access Solution with Significant Safety and Environmental Benefits and Increased Takeaway Capacity at a Cost Competitive with Pipelines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