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-MIT: Reducing industrial carbon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22,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723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new study describes why, in the sector where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hardest to cut, carbon capture could be the sharpest knife.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critical challenge in meeting the Paris Agreement's long-term goal of keeping global warming well below 2 degrees Celsius is to vastly reduce carbon dioxide (CO2) and other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generated by the most energy-intensive industries. According to a recent report by the International Energy Agency, these industries - cement, iron and steel, chemicals - account for about 20 percent of global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these industries are notoriously difficult to abate because, in addition to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energy use, a significant portion of industrial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come from the process itself.</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example, in the cement industry, about half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come from the decomposition of limestone into lime and CO2. While a shift to zero-carbon energy sources such as solar or wind-powered electricity could lower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power sector, there are no easy substitutes for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-intensive industrial processes.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Enter industrial carbon capture and storage (CCS). This technology, which extracts point-source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sequesters them underground, has the potential to remove up to 90-99 percent of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an industrial facility, including both energy-related and process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that begs the question: Might CCS alone enable hard-to-abate industries to continue to grow while eliminating nearly all of the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they generate from the atmosphere?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answer is an unequivocal yes in a new study in the journal Applied Energy co-authored by researchers at the MIT Joint Program on the Science and Policy of Global Change, MIT Energy Initiative, and ExxonMobil.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Using an enhanced version of the MIT Economic Projection and Policy Analysis (EPPA) model that represents different industrial CCS technology choices - and assuming that CCS is the only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mitigation option available to hard-to-abate industries - the study assesses the long-term economic and environmental impacts of CCS deployment under a climate policy aimed at capping the rise in average global surface temperature at 2 C above preindustrial levels.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researchers find that absent industrial CCS deployment, the global costs of implementing the 2 C policy are higher by 12 percent in 2075 and 71 percent in 2100, relative to policy costs with CCS. They conclude that industrial CCS enables continued growth in the production and consumption of energy-intensive goods from hard-to-abate industries, along with dramatic reductions in the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they generate. Their projections show that as industrial CCS gains traction mid-century, this growth occurs globally as well as within geographical regions (primarily in China, Europe, and the United States) and the cement, iron and steel, and chemical sectors.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'Because it can enable deep reductions in industrial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industrial CCS is an essential mitigation option in the successful implementation of policies aligned with the Paris Agreement's long-term climate targets,' says Sergey Paltsev, the study's lead author and a deputy director of the MIT Joint Program and senior research scientist at the MIT Energy Initiative. 'As the technology advances, our modeling approach offers decision-makers a pathway for projecting the deployment of industrial CCS across industries and regions.'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such advances will not take place without substantial, ongoing funding.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'Sustained government policy support across decades will be needed if CCS is to realize its potential to promote the growth of energy-intensive industries and a stable climate,' says Howard Herzog, a co-author of the study and senior research engineer at the MIT Energy Initiative.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researchers also find that advanced CCS options such as cryogenic carbon capture (CCC), in which extracted CO2 is cooled to solid form using far less power than conventional coal- and gas-fired CCS technologies, could help expand the use of CCS in industrial settings through further production cost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study was supported by sponsors of the MIT Joint Program and by ExxonMobil through its membership in the MIT Energy Initiative.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-MIT: Reducing industrial carbon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6D-9JK1-F0K1-N0P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2915.03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