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First-Quarter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9,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2610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 Marathon Petroleum Corp. (NYSE: MPC) today reported a first-quarter 2019 loss of $ 7 million, or $(0.01) per diluted share.</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 quarter 2019 earnings included a net benefit of $ 0.08 per diluted share related to a non-cash gain which was partially offset by transaction-related costs and prior period tax adjustments. This compares with income of $ 37 million, or $ 0.08 per diluted share, in the first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'Despite challenging refining market conditions, the stability of our Midstream and Retail segments helped our integrated business generate over $ 1.6 billion of operating cash flow during the quarter,' said Gary R. Heminger, chairman and chief executive officer. 'Throughout the quarter refining fundamentals improved, gasoline and distillate inventories rebalanced, and the April blended crack spread of $ 18.80 is more than double the first-quarter average. We expect positive dynamics across all three of our business segments to support growing cash flows throughout the remainder of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Heminger added, 'One of our core objectives is growing profitability and creating competitive advantages. We continuously assess our project portfolio to ensure disciplined capital allocation. Based on our internal forecasts, the Garyville Coker 3 project no longer comfortably exceeds our internal hurdle rates for refining projects. Consequently, we have decided to remove the project from our investment plans.'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remains committed to returning at least 50 percent of discretionary free cash flow to investors over the long term. MPC returned $ 1.2 billion in capital to shareholders during the first quarter of 2019, including $ 885 million in share repurchases.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MPLX LP (NYSE: MPLX) today announced that it has entered into a definitive merger agreement whereby MPLX will acquire Andeavor Logistics LP (NYSE: ANDX) in a unit-for-unit exchange. 'This merger creates a leading, large-scale, diversified midstream company anchored by fee-based cash flows,' added Heminger. 'The combined entity will have an expanded geographic footprint with enhanced long-term growth opportunities in some of the best basins in the U.S. We are confident about the midstream growth and value-creation opportunities that exist across this combined platform.'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Results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first quarter of 2019, total income from operations was $ 669 million and adjusted earnings before interest, taxes, depreciation, and amortization (Adjusted EBITDA) was $ 1.5 billion. This compares to $ 440 million in income from operations and $ 1.0 billion of Adjusted EBITDA for the first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Marketing (RM)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RM segment loss from operations was $ 334 million in the first quarter of 2019 compared with a loss from operations of $ 133 million in the same quarter of 2018. The $ 201 million decrease in RM income was primarily driven by narrower crude discounts across our medium and heavy sour crude slate. Additionally, high industry gasoline inventories following the fourth quarter's strong production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resulted in weaker gasoline margins particularly in January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capacity utilization was 95 percent, resulting in total throughputs of 3.1 million barrels per day for the first quarter, which was 1.2 million barrels per day higher than the throughput for the first quarter of last year. The increase was primarily due to the addition of the legacy Andeavor refineries. Refined product exports totaled 430 thousand barrels per day in the first quarter of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RM margin was $ 11.17 per barrel for the quarter. This quarter MPC began providing regional RM margins. Gulf Coast RM margins were $ 7.82 per barrel, Mid-Con RM margins were $ 15.26 per barrel, and West Coast RM margins were $ 10.94 per barrel.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EBITDA was $ 93 million in the first quarter 2019 versus $ 119 million for the same quarter last year. These results include turnaround costs of $ 186 million in the first quarter of 2019 and $ 173 million in the first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segment income from operations, which primarily reflects the results of MPLX and ANDX, was $ 908 million in the first quarter of 2019, compared with $ 567 million for the first quarter of 2018. The increase was due to contributions of $ 220 million from Andeavor Logistics and a $ 121 million increase in Midstream segment results driven primarily by growth across MPLX's businesses.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Midstream segment made progress on its strategy of capturing the full midstream value chain and enhancing its cash flow stability by announcing continued development of long-haul pipelines that meet growing market needs. MPLX signed a letter of intent to participate in the Wink-to-Webster crude oil pipeline in the Permian Basin. Additionally, the previously announced Whistler natural gas and BANGL natural gas liquids pipeline projects are both in the documentation phase, with final investment decisions expected in the near term. The open season on the proposed Capline reversal was completed and received significant interest such that the project will progress with an initial target in-service date of September 2020. Lastly, the Gray Oak Pipeline, in which MPC has a 25 percent equity interest, remains on schedule and is expected to be placed in service in the fourth quarter of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segment income from operations was $ 170 million in the first quarter of 2019, compared with $ 95 million in the first quarter of 2018. The increase in earnings was largely related to the addition of the legacy Andeavor retail operations as well as a $ 24 million year-over-year increase in MPC's legacy Speedway segment earnings.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fuel margin increased to 17.15 cents per gallon in the first quarter of 2019 from 15.61 cents per gallon in the first quarter of 2018. Same-store merchandise sales increased by 5.4 percent year-over-year and same-store gasoline sales volume decreased by 3.2 percent year-over-year.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April 30, Speedway has completed 112 store conversions in 2019, bringing the total number of conversions since the combination with Andeavor to 282. The store conversions across Minnesota are complete and the company is now focused on conversions in the Southwest. The company is targeting 700 total cumulative store conversions by the end of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Items Not Allocated to Segments and Other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Items not allocated to segments totaled $ 75 million of expenses in the first quarter of 2019 compared to $ 89 million in the first quarter of 2018. First quarter 2019 results included a $ 207 million gain related to the exchange of MPC's undivided interest in the Capline Pipeline system for an equity ownership in a newly formed entity. The non-cash gain reflects the excess of the estimated fair value of MPC's new entity ownership interest over the carrying value of the company's contributed undivided interest. This gain was partially offset by $ 91 million of transaction related costs primarily associated with adopting MPC's vacation accrual policies across the legacy Andeavor employee base.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effective tax rate for the first quarter of 2019 was 29 percent, largely due to $ 36 million of state deferred tax expense recognized for an out-of-period adjustment to correct the tax effects recorded in 2018 for the Andeavor acquisition.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Strong Financial Position and Liquidity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2019, the company had $ 755 million in cash and cash equivalents (excluding MPLX and ANDX's cash and cash equivalents of $ 93 million and $ 29 million, respectively), approximately $ 5 billion available under a revolving credit agreement, $ 1 billion available under a 364-day bank revolving credit facility and $ 750 million available under its trade receivables securitization facility.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realized $ 133 million of synergies related to the Andeavor combination in the first quarter. The company continues to expect annual gross run-rate synergies of up to $ 600 million at year-end 2019 and $ 1.4 billion by the end of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MPLX announced that it has entered into a definitive merger agreement with ANDX whereby MPLX will acquire ANDX in a unit-for-unit transaction at a 1.07x blended exchange ratio. Under the terms of the agreement, ANDX public unit holders will receive 1.135x MPLX common units for each ANDX common unit held, representing a premium of 7.3%, and MPC will receive 1.0328x MPLX common units for each ANDX common unit held, representing a 2.4% discount based on May 2, 2019 closing prices.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Second Quarter 2019 Outlook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second quarter 2019 outlook for the RM segment includes total throughput guidance of 2,925 thousand barrels per day and total direct operating costs of $ 8.70 per barrel. Corporate and other unallocated items are estimated at $ 200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with more than 3.0 million barrels per day of crude oil capacity across sixteen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interests in two midstream companies, MPLX LP and Andeavor Logistics LP, which own and operate gathering, processing, and fractionation assets, as well as crude oil and light product transportation and logistics infrastructure.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Kristina Kazarian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 421-2071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forward-looking statements within the meaning of federal securities laws regarding Marathon Petroleum Corporation (MPC). These forward-looking statements relate to, among other things, MPC's acquisition of Andeavor and include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'could,' 'design,' 'estimate,' 'expect,' 'forecast,' 'goal,' 'guidance,' 'imply,' 'intend,' 'may,' 'objective,' 'opportunity,' 'outlook,' 'plan,' 'policy,' 'position,' 'potential,' 'predict,' 'priority,' 'project,'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the risk that the cost savings and any other synergies from the Andeavor transaction may not be fully realized or may take longer to realize than expected; disruption from the Andeavor transaction making it more difficult to maintain relationships with customers, employees or suppliers; risks relating to any unforeseen liabilities of Andeavor; risks related to the proposed transaction between MPLX LP (MPLX) and Andeavor Logistics LP (ANDX), including the ability to complete the proposed transaction on the proposed terms and timetable, the ability to satisfy various conditions to the closing of the transaction contemplated by the merger agreement, the ability to obtain regulatory approvals for the proposed transaction on the proposed terms and schedule, and any conditions imposed on the combined entity in connection with the consummation of the proposed transaction, the risk that anticipated opportunities and any other synergies from or anticipated benefits of the proposed transaction may not be fully realized or may take longer to realize than expected, including whether the proposed transaction will be accretive within the expected timeframe or at all, or disruption from the proposed transaction making it more difficult to maintain relationships with customers, employees or suppliers; future levels of revenues, refining and marketing margins, operating costs, retail gasoline and distillate margins, merchandise margins, income from operations, net income or earnings per share; the regional, national and worldwide availability and pricing of refined products, crude oil, natural gas, NGLs and other feedstocks; consumer demand for refined products; the ability to manage disruptions in credit markets or changes to credit ratings; future levels of capital, environmental or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share repurchase authorizations, including the timing and amounts of any common stock repurchases; the adequacy of capital resources and liquidity, including but not limited to, availability of sufficient cash flow to execute business plans and to effect any share repurchases or dividend increases, including within the expected timeframe; the effect of restructuring or reorganization of business components; the potential effects of judicial or other proceedings on the business, financial condition, results of operations and cash flows; continued or further volatility in and/or degradation of general economic, market, industry or business conditions; compliance with federal and state environmental, economic, health and safety, energy and other policies and regulations, including the cost of compliance with the Renewable Fuel Standard, and/or enforcement actions initiated thereunder;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or ANDX and the factors set forth under the heading 'Risk Factors' in MPC's Annual Report on Form 10-K for the year ended Dec. 31, 2018, filed with the SEC.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respective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First-Quarter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2S-P291-JD3Y-Y1B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 and Recovery Analysis- Autogas Market 2020-2024 | Rising Need for Cleaner Fuel to Boost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