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-BP - Eight energy companies commit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within natural gas industry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24,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BP, Eni, ExxonMobil, Repsol, Shell, Statoil, Total and Wintershall today committed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natural gas assets they operate around the world.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energy companies also agreed to encourage others across the natural gas value chain - from production to the final consumer - to do the same.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commitment was made as part of wider efforts by the global energy industry to ensure that natural gas continues to play a critical role in helping meet future energy demand while addressing climate change. Since natural gas consists mainly of methane, a potent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eight energy companies today signed a Guiding Principles document, which focuses on: continually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advancing strong performance across gas value chains; improving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advocating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transparency.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'Numerous studies have shown the importance of quickly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if we're to meet growing energy demand and multiple environmental goals,' said Mark Radka, Head of UN Environment's Energy and Climate Branch. 'The Guiding Principles provide an excellent framework for doing so across the entire natural gas value chain, particularly if they're linked to reporting on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achieved.'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Guiding Principles were developed in collaboration with the Environmental Defense Fund, the International Energy Agency (IEA), the International Gas Union, the Oil and Gas Climate Initiative Climate Investments, the Rocky Mountain Institute, the Sustainable Gas Institute, The Energy and Resources Institute, and United Nations Environment.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analysis at IEA shows that credible action to minimise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essential to the achievement of global climate goals, and to the outlook for natural gas,' said Tim Gould, Head of Supply Division, World Energy Outlook, IEA. 'The commitment by companies to the Guiding Principles is a very important step; we look forward to seeing the results of their implementation and wider application. The opportunity is considerable - implementing all of the cost-effective methane abatement measures worldwide would have the same effect on long-term climate change as closing all existing coal-fired power plants in China.'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+44 (0)20 7496 4076</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24,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-BP - Eight energy companies commit to reduce methane emissions within natural gas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1J-9WN1-F0K1-N4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appoints Dan Ammann president of Low Carbon Solutions; Joe Blommaert to retire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