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 Energy efficiency connects MPC to Earth Day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23,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Company's (MPC) energy efficiency achievements give the company a strong connection to Earth Day, the annual global event every April 22 that promotes environmental awareness and efforts to advance sustainability measures.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Earth Day Network, which leads this worldwide commemoration, touts Earth Day as the largest civic-focused day of action in the world with participation by an estimated 1 billion people in 192 countries. The event's environmental focus is mirrored by MPC's intensive commitment to reduce energy use as exemplified through its industry-leading performance in the Environmental Protection Agency's (EPA) ENERGY STAR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Starring Role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STAR tools and resources help companies determine cost-effective approaches to energy management. For the second consecutive year in 2019, MPC has earned the ENERGY STAR Partner of the Year Award, the EPA's highest level of recognition. Partners must perform at a superior level of energy management, demonstrate best practices across the organization, generate proven organization-wide energy savings, and communicate the benefits of the ENERGY STAR program.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has avoided millions of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through efficiency gains across Refining, Logistics and Storage, Natural Gas Gathering and Processing, and office complexes, such as the corporate headquarters. For example, the EPA recently recognized the Cincinnati Biorefining Division for meeting the ENERGY STAR Challenge for Industry for the second consecutive year with an 11.4 percent reduction in its energy intensity over 15 months. At the corporate headquarters, the ENERGY STAR Portfolio Manager tool in 2018 confirmed the complex achieved a 38 percent reduction in source energy-use intensity over a 10-year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 Energy efficiency connects MPC to Earth Day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YC-5341-JD3Y-Y02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MPC organizations receive Coast Guard recognition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