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Outlines Plans to Increase Shareholder Distributions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10,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1439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Phillips 66 (NYSE: PSX) will provide a plan to deliver higher shareholder distributions and increase shareholder value at its investor day meeting in New York today.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announcing a number of priorities designed to reward shareholders,' said Mark Lashier, President and CEO of Phillips 66. 'Thanks to our clear vision, core values and dedicated employees, we've enjoyed tremendous success since our inception 10 years ago. We will continue our track record of strong returns and growing distributions in a competitive and sustainable way. We have returned more than $ 30 billion to shareholders since the company's formation in 2012, in large part from our uniquely integrated and diversified assets in Midstream, Chemicals, Refining and Marketing.'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Lashier said that the company plans to return an additional $ 10 billion to $ 12 billion to shareholders between mid-year 2022 and the end of 2024 through a combination of dividends and share repurchases. The company's Board of Directors approved a $ 5 billion increase to its authorization to repurchase its common stock, which brings the total amount of share repurchases authorized by the Board since 2012 to an aggregate of $ 20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enhancing Refining performance by taking necessary actions to increase reliability, improve market capture and reduce costs.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plans to increase adjusted EBITDA by $ 3 billion over the next three years. The company expects to achieve this growth through its proposed 87% interest in DCP Midstream, execution of Rodeo Renewed and other projects, as well as sustainable cost reductions from its Business Transformation.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actions will enable the company to increase distributions to shareholders, Lashier said, adding that the company is committed to disciplined growth and financial flexibility to drive returns and reward shareholders, now and in the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Webcast of Investor Day Available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access the webcast, go to the Events and Presentations section of the Phillips 66 Investors site, phillips66.com/investors. A replay will be archived on the Events and Presentations page the day after the event, and a transcript will be available at a later 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projections of future results, savings and other forward-looking statements within the meaning of the federal securities laws. Words such as 'anticipated,' 'estimated,' 'expected,' 'planned,' 'scheduled,' 'targeted,' 'believe,' 'continue,' 'intend,' 'will,' 'would,' 'objective,' 'goal,' 'project,' 'efforts,' 'strategies' and similar expressions that convey the prospective nature of events or outcomes generally indicate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our ability to consummate the proposed transaction to acquire all of the publicly held common units of DCP Midstream, LP (DCP Midstream) and the timing and cost associated therewith; our ability to achieve the expected benefits of the integration of DCP Midstream and from the proposed transaction, if consummated; the diversion of management's time on transaction- and integration-related matters; the success of the company's Business Transformation initiatives and the realization of savings from actions taken in connection therewith;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which may also impact our ability to repurchase shares and declare and pay dividends; potential disruption of our operations due to accidents, weather events, including as a result of climate change, acts of terrorism or cyberattacks; general domestic and international economic and political developments including armed hostilities (including the Russia-Ukraine war), expropriation of assets, and other political, economic or diplomatic developments;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 'adjusted EBITDA' which is a non-GAAP financial measure that we define as net income plus net interest expense, income taxes, and depreciation and amortization. Adjusted EBITDA estimates depend on future levels of revenues and expenses which are not reasonably estimable at this time. Accordingly, we cannot provide a reconciliation between projected adjusted EBITDA to net income without unreasonable effort.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phillips66.com or follow @Phillips66Co on LinkedIn or Twitter.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jeff.dietert@p66.com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832-765-2297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1" w:history="1">
        <w:r>
          <w:rPr>
            <w:rFonts w:ascii="times" w:eastAsia="times" w:hAnsi="times" w:cs="times"/>
            <w:b w:val="0"/>
            <w:i/>
            <w:strike w:val="0"/>
            <w:noProof w:val="0"/>
            <w:color w:val="0077CC"/>
            <w:position w:val="0"/>
            <w:sz w:val="20"/>
            <w:u w:val="single"/>
            <w:shd w:val="clear" w:color="auto" w:fill="FFFFFF"/>
            <w:vertAlign w:val="baseline"/>
          </w:rPr>
          <w:t>shannon.m.holy@p66.com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Thaddeus Herrick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855-841-2368</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2" w:history="1">
        <w:r>
          <w:rPr>
            <w:rFonts w:ascii="times" w:eastAsia="times" w:hAnsi="times" w:cs="times"/>
            <w:b w:val="0"/>
            <w:i/>
            <w:strike w:val="0"/>
            <w:noProof w:val="0"/>
            <w:color w:val="0077CC"/>
            <w:position w:val="0"/>
            <w:sz w:val="20"/>
            <w:u w:val="single"/>
            <w:shd w:val="clear" w:color="auto" w:fill="FFFFFF"/>
            <w:vertAlign w:val="baseline"/>
          </w:rPr>
          <w:t>thaddeus.f.herrick@p66.com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Outlines Plans to Increase Shareholder Distributions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jeff.dietert@p66.com" TargetMode="External" /><Relationship Id="rId11" Type="http://schemas.openxmlformats.org/officeDocument/2006/relationships/hyperlink" Target="mailto:shannon.m.holy@p66.com" TargetMode="External" /><Relationship Id="rId12" Type="http://schemas.openxmlformats.org/officeDocument/2006/relationships/hyperlink" Target="mailto:thaddeus.f.herrick@p66.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X-F4P1-JD3Y-Y3X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NuStar Announces Pipeline Capacity Expansion Project for Albuquerque Market; Project to Increase Flow of Refined Fuels Into Region While Increasing Pipeline Efficiency and Environmental Performance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