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-The University of Texas at Austin :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Titans Collaborate With UT To Solve Most Pressing Global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Challenges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15,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AUSTIN, Texas -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Institute at The University of Texas at Austin and four of the globe's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have launched a new membership program that will advance science and create opportunities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community members and students.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Shell and longtime institute supporters ExxonMobil and ConocoPhillips are partnering with the UT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Institute to fund research including clean hydrogen; carbon capture, utilization and storage; environmental monitoring; circular economy; and e-mobility.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'Leading the world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innovation, environmental research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policy development are key university priorities as we leverage our unmatched depth and breadth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expertise in continued service to Texas and the world,' said UT Austin President Jay Hartzell. 'This partnership will strengthen our ability to help solve some of the world's most urgent challenges, while also creating high-impact career and research opportunities for our undergraduate and graduate students.'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Countries across the globe are investing tens of billions of dollars pursuing answers to the most pressing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challenges, including net zero power sector emission goals. In the United States, the Bipartisan Infrastructure Law includes $ 8 billion for developing clean hydrogen hubs across the country.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program allows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community to engage strategically with UT and help identify and then fund critical areas of research interest,' said Brian Korgel, Rashid Engineering Regents Chair Professor in the McKetta Department of Chemical Engineering and director of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Institute. 'As members,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experts can connect more directly with students, faculty, researchers and UT leadership, provide timely insight, fill knowledge gaps and workforce needs, and support innovation through pioneering research.'</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Environmental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problems are complex. They can have cascading effects on all aspects of life, with implications for everything from transportation and the electric grid, to the price of fuel, life-improving technologies, and goods and services. The solutions require deep, cross-sectoral collaboration that considers the push and pull of these often competing interests.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Institute is a platform that brings together and leverages experts from multiple disciplines across campus and provides an enhanced, 360-degree view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understanding. The organization will host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symposium speaker series, UT's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Week, a graduate portfolio program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studies, and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fellows program.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from the executives of Chevron, ConocoPhillips, ExxonMobil and Shell about their involvement in the program, or for information on how your company may get involved, please visit the UT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Institute.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Nora Ankrum</w:t>
      </w:r>
    </w:p>
    <w:p/>
    <w:p>
      <w:pPr>
        <w:keepNext w:val="0"/>
        <w:spacing w:before="240" w:after="0" w:line="260" w:lineRule="atLeast"/>
        <w:ind w:left="0" w:right="0" w:firstLine="0"/>
        <w:jc w:val="both"/>
      </w:pP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Institute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0" w:history="1">
        <w:r>
          <w:rPr>
            <w:rFonts w:ascii="times" w:eastAsia="times" w:hAnsi="times" w:cs="times"/>
            <w:b w:val="0"/>
            <w:i/>
            <w:strike w:val="0"/>
            <w:noProof w:val="0"/>
            <w:color w:val="0077CC"/>
            <w:position w:val="0"/>
            <w:sz w:val="20"/>
            <w:u w:val="single"/>
            <w:shd w:val="clear" w:color="auto" w:fill="FFFFFF"/>
            <w:vertAlign w:val="baseline"/>
          </w:rPr>
          <w:t>nora@</w:t>
        </w:r>
      </w:hyperlink>
      <w:hyperlink r:id="rId10" w:history="1">
        <w:r>
          <w:rPr>
            <w:rFonts w:ascii="times" w:eastAsia="times" w:hAnsi="times" w:cs="times"/>
            <w:b/>
            <w:i/>
            <w:strike w:val="0"/>
            <w:noProof w:val="0"/>
            <w:color w:val="0077CC"/>
            <w:position w:val="0"/>
            <w:sz w:val="20"/>
            <w:u w:val="single"/>
            <w:shd w:val="clear" w:color="auto" w:fill="FFFFFF"/>
            <w:vertAlign w:val="baseline"/>
          </w:rPr>
          <w:t>energy</w:t>
        </w:r>
      </w:hyperlink>
      <w:hyperlink r:id="rId10" w:history="1">
        <w:r>
          <w:rPr>
            <w:rFonts w:ascii="times" w:eastAsia="times" w:hAnsi="times" w:cs="times"/>
            <w:b w:val="0"/>
            <w:i/>
            <w:strike w:val="0"/>
            <w:noProof w:val="0"/>
            <w:color w:val="0077CC"/>
            <w:position w:val="0"/>
            <w:sz w:val="20"/>
            <w:u w:val="single"/>
            <w:shd w:val="clear" w:color="auto" w:fill="FFFFFF"/>
            <w:vertAlign w:val="baseline"/>
          </w:rPr>
          <w:t>.utexas.edu</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University of Texas at Austin : Energy Titans Collaborate With UT To Solve Most Pressing Global Energy Challenges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ora@energy.utexas.edu"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C-DKT1-F0K1-N4V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Party Energy Storage Platforms, 2020 Insights - Democrats Can Embrace Flow Battery Technology as a Next-Generation Power Technology That Drives Enormous Business Growth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