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Bio Alcohol 2018-2025 Market Segment by Regions, Overall analysis , Type, Application, Sales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iCrowdNewswire (English)</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16, 2018 Monday 3:02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iCrowdNewswire, LLC All Rights Reserved</w:t>
      </w:r>
    </w:p>
    <w:p>
      <w:pPr>
        <w:keepNext w:val="0"/>
        <w:spacing w:before="120" w:after="0" w:line="220" w:lineRule="atLeast"/>
        <w:ind w:left="0" w:right="0" w:firstLine="0"/>
        <w:jc w:val="left"/>
      </w:pPr>
      <w:r>
        <w:br/>
      </w:r>
      <w:r>
        <w:pict>
          <v:shape id="_x0000_i1026" type="#_x0000_t75" style="width:172.5pt;height:26.2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954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latest research on the Bio Alcohol market applies both qualitative and quantitative data analysis to present an overview of the future adjacencies around the Bio Alcohol industry for the forecast period, 2018-2025. The all-encompassing study pertaining to the market share, growth and size equip stakeholders, business owners, and field marketing personnel to obtain a ... Continue reading Bio Alcohol 2018-2025 Market Segment by Regions, Overall analysis , Type, Application, Sales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latest research on the Bio Alcohol market applies both qualitative and quantitative data analysis to present an overview of the future adjacencies around the Bio Alcohol industry for the forecast period, 2018-2025. The all-encompassing study pertaining to the market share, growth and size equip stakeholders, business owners, and field marketing personnel to obtain a unique knowledge about the current business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to offer a competitive advantage over the giants. Deep dive into past, present, and future industry trends include in the market intelligence report reveals a lot about the strategic capabilities business owners can leverage to gain a strong foothold in the business world. </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Request for free sample report @</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https://www.marketexpertz.com/sample-enquiry-form/13822</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report focuses on the top manufacturers in United States, Europe, China, Japan, South Korea and Taiwan and other regions.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The major manufacturers covered in this report:</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BASF SE</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Mitsubishi Chemical Corporation</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Harvest Power Inc</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Cool Planet Energy Solutions</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Fulcrum Bioenergy Inc.</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BioAmber Inc</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Cargill Inc</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Genomatica Inc</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Myriant Corporation</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Valero Energy Corporation</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Biofuels</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Raizen S.A.</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Geographically, this report studies the top producers and consumers in these key regions:</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China</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Japan</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 Regions (India, Southeast Asia, Central &amp; South America and Middle East &amp; Africa)</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Make an inquiry with our analyst before purchasing report for any queries and If you have any special requirements, please let us know and we will offer you the report as you want @</w:t>
      </w:r>
      <w:hyperlink r:id="rId11" w:history="1">
        <w:r>
          <w:rPr>
            <w:rFonts w:ascii="times" w:eastAsia="times" w:hAnsi="times" w:cs="times"/>
            <w:b w:val="0"/>
            <w:i/>
            <w:strike w:val="0"/>
            <w:noProof w:val="0"/>
            <w:color w:val="0077CC"/>
            <w:position w:val="0"/>
            <w:sz w:val="20"/>
            <w:u w:val="single"/>
            <w:shd w:val="clear" w:color="auto" w:fill="FFFFFF"/>
            <w:vertAlign w:val="baseline"/>
          </w:rPr>
          <w:t>https://www.marketexpertz.com/make-enquiry-form/13822</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We can also provide the customized separate regional or country-level reports, for the following regions: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North America, United States, Canada, Mexico, Asia-Pacific, China, India, Japan, South Korea, Australia, Indonesia, Singapore, Rest of Asia-Pacific, Europe, Germany, France, UK, Italy, Spain, Russia, Rest of Europe, Central &amp; South America, Brazil, Argentina, Rest of South America, Middle East &amp; Africa, Saudi Arabia, Turkey, Rest of Middle East &amp; Africa</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On the basis of product, this report is primarily split into:</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Bio Methanol</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Bio Ethanol</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Bio BDO</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Bio Butanol</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On the basis of the end users/applications, this report is primarily split into:</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Medical</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Transportation</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Infrastructure</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Purchase complete report distributed over 16 chapters and 114 pages with figures, charts, info-graphics and tables for better illustration and further can be conveniently incorporated into any business presentation</w:t>
      </w:r>
      <w:r>
        <w:rPr>
          <w:rFonts w:ascii="times" w:eastAsia="times" w:hAnsi="times" w:cs="times"/>
          <w:b/>
          <w:i w:val="0"/>
          <w:strike w:val="0"/>
          <w:noProof w:val="0"/>
          <w:color w:val="000000"/>
          <w:position w:val="0"/>
          <w:sz w:val="20"/>
          <w:u w:val="none"/>
          <w:vertAlign w:val="baseline"/>
        </w:rPr>
        <w:t>to understand the structure of complete report</w:t>
      </w:r>
      <w:r>
        <w:rPr>
          <w:rFonts w:ascii="times" w:eastAsia="times" w:hAnsi="times" w:cs="times"/>
          <w:b/>
          <w:i w:val="0"/>
          <w:strike w:val="0"/>
          <w:noProof w:val="0"/>
          <w:color w:val="000000"/>
          <w:position w:val="0"/>
          <w:sz w:val="20"/>
          <w:u w:val="none"/>
          <w:vertAlign w:val="baseline"/>
        </w:rPr>
        <w:t>@</w:t>
      </w:r>
      <w:hyperlink r:id="rId12" w:history="1">
        <w:r>
          <w:rPr>
            <w:rFonts w:ascii="times" w:eastAsia="times" w:hAnsi="times" w:cs="times"/>
            <w:b w:val="0"/>
            <w:i/>
            <w:strike w:val="0"/>
            <w:noProof w:val="0"/>
            <w:color w:val="0077CC"/>
            <w:position w:val="0"/>
            <w:sz w:val="20"/>
            <w:u w:val="single"/>
            <w:shd w:val="clear" w:color="auto" w:fill="FFFFFF"/>
            <w:vertAlign w:val="baseline"/>
          </w:rPr>
          <w:t>https://www.marketexpertz.com/checkout-form/13822</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Key Stakeholders</w:t>
      </w:r>
      <w:r>
        <w:rPr>
          <w:rFonts w:ascii="times" w:eastAsia="times" w:hAnsi="times" w:cs="times"/>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Bio Alcohol Manufacturers Bio Alcohol Distributors/Traders/Wholesalers Bio Alcohol Subcomponent Manufacturers Industry Association Downstream Vendors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In this study, the years considered to estimate the market size of Bio Alcohol are as follows: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History Year: 2013-2017 Base Year: 2017 Estimated Year: 2018 Forecast Year 2018 to 2025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the data information by region, company, type and application, 2017 is considered as the base year. Whenever data information was unavailable for the base year, the prior year has been considered.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With the given market data, Research Team offers customizations according to the company's specific needs. The following customization options are available for the report: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Regional and country-level analysis of the Military Aircraft market, by end-use.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Detailed analysis and profiles of additional market players.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Key elements from table of content:</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7 Global Bio Alcohol Manufacturers Profiles/Analysis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7.1 BASF SE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7.1.1 Company Basic Information, Manufacturing Base, Sales Area and Its Competitors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7.1.2 Bio Alcohol Product Category, Application and Specification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7.1.2.1 Product 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7.1.2.2 Product B</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7.1.3 BASF SE Bio Alcohol Capacity, Production, Revenue, Price and Gross Margin (2018-2025)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7.1.4 Main Business/Business Overview</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7.2 Mitsubishi Chemical Corporation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7.2.1 Company Basic Information, Manufacturing Base, Sales Area and Its Competitors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7.2.2 Bio Alcohol Product Category, Application and Specification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7.2.2.1 Product 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7.2.2.2 Product B</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7.2.3 Mitsubishi Chemical Corporation Bio Alcohol Capacity, Production, Revenue, Price and Gross Margin (2018-2025)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7.2.4 Main Business/Business Overview</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Continue...</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About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Planning to invest in market intelligence products or offerings on the web? Then marketexpertz has just the thing for you   reports from over 500 prominent publishers and updates on our collection daily to empower companies and individuals catch-up with the vital insights on industries operating across different geography, trends, share, size and growth rate. There's more to what we offer to our customers. With marketexpertz you have the choice to tap into the specialized services without any additional charges.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Tags: </w:t>
      </w:r>
      <w:hyperlink r:id="rId13" w:history="1">
        <w:r>
          <w:rPr>
            <w:rFonts w:ascii="times" w:eastAsia="times" w:hAnsi="times" w:cs="times"/>
            <w:b w:val="0"/>
            <w:i/>
            <w:strike w:val="0"/>
            <w:noProof w:val="0"/>
            <w:color w:val="0077CC"/>
            <w:position w:val="0"/>
            <w:sz w:val="20"/>
            <w:u w:val="single"/>
            <w:shd w:val="clear" w:color="auto" w:fill="FFFFFF"/>
            <w:vertAlign w:val="baseline"/>
          </w:rPr>
          <w:t>Market Forecast</w:t>
        </w:r>
      </w:hyperlink>
      <w:r>
        <w:rPr>
          <w:rFonts w:ascii="times" w:eastAsia="times" w:hAnsi="times" w:cs="times"/>
          <w:b w:val="0"/>
          <w:i w:val="0"/>
          <w:strike w:val="0"/>
          <w:noProof w:val="0"/>
          <w:color w:val="000000"/>
          <w:position w:val="0"/>
          <w:sz w:val="20"/>
          <w:u w:val="none"/>
          <w:vertAlign w:val="baseline"/>
        </w:rPr>
        <w:t xml:space="preserve">,            </w:t>
      </w:r>
      <w:hyperlink r:id="rId14" w:history="1">
        <w:r>
          <w:rPr>
            <w:rFonts w:ascii="times" w:eastAsia="times" w:hAnsi="times" w:cs="times"/>
            <w:b w:val="0"/>
            <w:i/>
            <w:strike w:val="0"/>
            <w:noProof w:val="0"/>
            <w:color w:val="0077CC"/>
            <w:position w:val="0"/>
            <w:sz w:val="20"/>
            <w:u w:val="single"/>
            <w:shd w:val="clear" w:color="auto" w:fill="FFFFFF"/>
            <w:vertAlign w:val="baseline"/>
          </w:rPr>
          <w:t>market manufacturer</w:t>
        </w:r>
      </w:hyperlink>
      <w:r>
        <w:rPr>
          <w:rFonts w:ascii="times" w:eastAsia="times" w:hAnsi="times" w:cs="times"/>
          <w:b w:val="0"/>
          <w:i w:val="0"/>
          <w:strike w:val="0"/>
          <w:noProof w:val="0"/>
          <w:color w:val="000000"/>
          <w:position w:val="0"/>
          <w:sz w:val="20"/>
          <w:u w:val="none"/>
          <w:vertAlign w:val="baseline"/>
        </w:rPr>
        <w:t xml:space="preserve">,            </w:t>
      </w:r>
      <w:hyperlink r:id="rId15" w:history="1">
        <w:r>
          <w:rPr>
            <w:rFonts w:ascii="times" w:eastAsia="times" w:hAnsi="times" w:cs="times"/>
            <w:b w:val="0"/>
            <w:i/>
            <w:strike w:val="0"/>
            <w:noProof w:val="0"/>
            <w:color w:val="0077CC"/>
            <w:position w:val="0"/>
            <w:sz w:val="20"/>
            <w:u w:val="single"/>
            <w:shd w:val="clear" w:color="auto" w:fill="FFFFFF"/>
            <w:vertAlign w:val="baseline"/>
          </w:rPr>
          <w:t>market opportunity</w:t>
        </w:r>
      </w:hyperlink>
      <w:r>
        <w:rPr>
          <w:rFonts w:ascii="times" w:eastAsia="times" w:hAnsi="times" w:cs="times"/>
          <w:b w:val="0"/>
          <w:i w:val="0"/>
          <w:strike w:val="0"/>
          <w:noProof w:val="0"/>
          <w:color w:val="000000"/>
          <w:position w:val="0"/>
          <w:sz w:val="20"/>
          <w:u w:val="none"/>
          <w:vertAlign w:val="baseline"/>
        </w:rPr>
        <w:t xml:space="preserve">,            </w:t>
      </w:r>
      <w:hyperlink r:id="rId16" w:history="1">
        <w:r>
          <w:rPr>
            <w:rFonts w:ascii="times" w:eastAsia="times" w:hAnsi="times" w:cs="times"/>
            <w:b w:val="0"/>
            <w:i/>
            <w:strike w:val="0"/>
            <w:noProof w:val="0"/>
            <w:color w:val="0077CC"/>
            <w:position w:val="0"/>
            <w:sz w:val="20"/>
            <w:u w:val="single"/>
            <w:shd w:val="clear" w:color="auto" w:fill="FFFFFF"/>
            <w:vertAlign w:val="baseline"/>
          </w:rPr>
          <w:t>Market Share</w:t>
        </w:r>
      </w:hyperlink>
      <w:r>
        <w:rPr>
          <w:rFonts w:ascii="times" w:eastAsia="times" w:hAnsi="times" w:cs="times"/>
          <w:b w:val="0"/>
          <w:i w:val="0"/>
          <w:strike w:val="0"/>
          <w:noProof w:val="0"/>
          <w:color w:val="000000"/>
          <w:position w:val="0"/>
          <w:sz w:val="20"/>
          <w:u w:val="none"/>
          <w:vertAlign w:val="baseline"/>
        </w:rPr>
        <w:t xml:space="preserve">,            </w:t>
      </w:r>
      <w:hyperlink r:id="rId17" w:history="1">
        <w:r>
          <w:rPr>
            <w:rFonts w:ascii="times" w:eastAsia="times" w:hAnsi="times" w:cs="times"/>
            <w:b w:val="0"/>
            <w:i/>
            <w:strike w:val="0"/>
            <w:noProof w:val="0"/>
            <w:color w:val="0077CC"/>
            <w:position w:val="0"/>
            <w:sz w:val="20"/>
            <w:u w:val="single"/>
            <w:shd w:val="clear" w:color="auto" w:fill="FFFFFF"/>
            <w:vertAlign w:val="baseline"/>
          </w:rPr>
          <w:t>market size</w:t>
        </w:r>
      </w:hyperlink>
      <w:r>
        <w:rPr>
          <w:rFonts w:ascii="times" w:eastAsia="times" w:hAnsi="times" w:cs="times"/>
          <w:b w:val="0"/>
          <w:i w:val="0"/>
          <w:strike w:val="0"/>
          <w:noProof w:val="0"/>
          <w:color w:val="000000"/>
          <w:position w:val="0"/>
          <w:sz w:val="20"/>
          <w:u w:val="none"/>
          <w:vertAlign w:val="baseline"/>
        </w:rPr>
        <w:t xml:space="preserve">,            </w:t>
      </w:r>
      <w:hyperlink r:id="rId18" w:history="1">
        <w:r>
          <w:rPr>
            <w:rFonts w:ascii="times" w:eastAsia="times" w:hAnsi="times" w:cs="times"/>
            <w:b w:val="0"/>
            <w:i/>
            <w:strike w:val="0"/>
            <w:noProof w:val="0"/>
            <w:color w:val="0077CC"/>
            <w:position w:val="0"/>
            <w:sz w:val="20"/>
            <w:u w:val="single"/>
            <w:shd w:val="clear" w:color="auto" w:fill="FFFFFF"/>
            <w:vertAlign w:val="baseline"/>
          </w:rPr>
          <w:t>Market Trend</w:t>
        </w:r>
      </w:hyperlink>
      <w:r>
        <w:rPr>
          <w:rFonts w:ascii="times" w:eastAsia="times" w:hAnsi="times" w:cs="times"/>
          <w:b/>
          <w:i w:val="0"/>
          <w:strike w:val="0"/>
          <w:noProof w:val="0"/>
          <w:color w:val="000000"/>
          <w:position w:val="0"/>
          <w:sz w:val="20"/>
          <w:u w:val="none"/>
          <w:vertAlign w:val="baseline"/>
        </w:rPr>
        <w:t>See Campaign:</w:t>
      </w:r>
      <w:r>
        <w:rPr>
          <w:rFonts w:ascii="times" w:eastAsia="times" w:hAnsi="times" w:cs="times"/>
          <w:b w:val="0"/>
          <w:i w:val="0"/>
          <w:strike w:val="0"/>
          <w:noProof w:val="0"/>
          <w:color w:val="000000"/>
          <w:position w:val="0"/>
          <w:sz w:val="20"/>
          <w:u w:val="none"/>
          <w:vertAlign w:val="baseline"/>
        </w:rPr>
        <w:t xml:space="preserve">           </w:t>
      </w:r>
      <w:hyperlink r:id="rId19" w:history="1">
        <w:r>
          <w:rPr>
            <w:rFonts w:ascii="times" w:eastAsia="times" w:hAnsi="times" w:cs="times"/>
            <w:b w:val="0"/>
            <w:i/>
            <w:strike w:val="0"/>
            <w:noProof w:val="0"/>
            <w:color w:val="0077CC"/>
            <w:position w:val="0"/>
            <w:sz w:val="20"/>
            <w:u w:val="single"/>
            <w:shd w:val="clear" w:color="auto" w:fill="FFFFFF"/>
            <w:vertAlign w:val="baseline"/>
          </w:rPr>
          <w:t>https://www.marketexpertz.com/industry-overview/bio-alcohol-market</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Contact Information: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Us:40 Wall St. 28th floor New York City,NY 10005 United </w:t>
      </w:r>
      <w:hyperlink r:id="rId20" w:history="1">
        <w:r>
          <w:rPr>
            <w:rFonts w:ascii="times" w:eastAsia="times" w:hAnsi="times" w:cs="times"/>
            <w:b w:val="0"/>
            <w:i/>
            <w:strike w:val="0"/>
            <w:noProof w:val="0"/>
            <w:color w:val="0077CC"/>
            <w:position w:val="0"/>
            <w:sz w:val="20"/>
            <w:u w:val="single"/>
            <w:shd w:val="clear" w:color="auto" w:fill="FFFFFF"/>
            <w:vertAlign w:val="baseline"/>
          </w:rPr>
          <w:t>Statessales@marketexpertz.com</w:t>
        </w:r>
      </w:hyperlink>
      <w:r>
        <w:rPr>
          <w:rFonts w:ascii="times" w:eastAsia="times" w:hAnsi="times" w:cs="times"/>
          <w:b w:val="0"/>
          <w:i w:val="0"/>
          <w:strike w:val="0"/>
          <w:noProof w:val="0"/>
          <w:color w:val="000000"/>
          <w:position w:val="0"/>
          <w:sz w:val="20"/>
          <w:u w:val="none"/>
          <w:vertAlign w:val="baseline"/>
        </w:rPr>
        <w:t>+1-800-819-3052</w:t>
      </w:r>
    </w:p>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Tags: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21" w:history="1">
        <w:r>
          <w:rPr>
            <w:rFonts w:ascii="times" w:eastAsia="times" w:hAnsi="times" w:cs="times"/>
            <w:b w:val="0"/>
            <w:i/>
            <w:strike w:val="0"/>
            <w:noProof w:val="0"/>
            <w:color w:val="0077CC"/>
            <w:position w:val="0"/>
            <w:sz w:val="20"/>
            <w:u w:val="single"/>
            <w:shd w:val="clear" w:color="auto" w:fill="FFFFFF"/>
            <w:vertAlign w:val="baseline"/>
          </w:rPr>
          <w:t>Wire</w:t>
        </w:r>
      </w:hyperlink>
      <w:r>
        <w:rPr>
          <w:rFonts w:ascii="times" w:eastAsia="times" w:hAnsi="times" w:cs="times"/>
          <w:b w:val="0"/>
          <w:i w:val="0"/>
          <w:strike w:val="0"/>
          <w:noProof w:val="0"/>
          <w:color w:val="000000"/>
          <w:position w:val="0"/>
          <w:sz w:val="20"/>
          <w:u w:val="none"/>
          <w:vertAlign w:val="baseline"/>
        </w:rPr>
        <w:t xml:space="preserve">,            </w:t>
      </w:r>
      <w:hyperlink r:id="rId22" w:history="1">
        <w:r>
          <w:rPr>
            <w:rFonts w:ascii="times" w:eastAsia="times" w:hAnsi="times" w:cs="times"/>
            <w:b w:val="0"/>
            <w:i/>
            <w:strike w:val="0"/>
            <w:noProof w:val="0"/>
            <w:color w:val="0077CC"/>
            <w:position w:val="0"/>
            <w:sz w:val="20"/>
            <w:u w:val="single"/>
            <w:shd w:val="clear" w:color="auto" w:fill="FFFFFF"/>
            <w:vertAlign w:val="baseline"/>
          </w:rPr>
          <w:t>Research Newswire</w:t>
        </w:r>
      </w:hyperlink>
      <w:r>
        <w:rPr>
          <w:rFonts w:ascii="times" w:eastAsia="times" w:hAnsi="times" w:cs="times"/>
          <w:b w:val="0"/>
          <w:i w:val="0"/>
          <w:strike w:val="0"/>
          <w:noProof w:val="0"/>
          <w:color w:val="000000"/>
          <w:position w:val="0"/>
          <w:sz w:val="20"/>
          <w:u w:val="none"/>
          <w:vertAlign w:val="baseline"/>
        </w:rPr>
        <w:t xml:space="preserve">,            </w:t>
      </w:r>
      <w:hyperlink r:id="rId23" w:history="1">
        <w:r>
          <w:rPr>
            <w:rFonts w:ascii="times" w:eastAsia="times" w:hAnsi="times" w:cs="times"/>
            <w:b w:val="0"/>
            <w:i/>
            <w:strike w:val="0"/>
            <w:noProof w:val="0"/>
            <w:color w:val="0077CC"/>
            <w:position w:val="0"/>
            <w:sz w:val="20"/>
            <w:u w:val="single"/>
            <w:shd w:val="clear" w:color="auto" w:fill="FFFFFF"/>
            <w:vertAlign w:val="baseline"/>
          </w:rPr>
          <w:t>Press Release</w:t>
        </w:r>
      </w:hyperlink>
      <w:r>
        <w:rPr>
          <w:rFonts w:ascii="times" w:eastAsia="times" w:hAnsi="times" w:cs="times"/>
          <w:b w:val="0"/>
          <w:i w:val="0"/>
          <w:strike w:val="0"/>
          <w:noProof w:val="0"/>
          <w:color w:val="000000"/>
          <w:position w:val="0"/>
          <w:sz w:val="20"/>
          <w:u w:val="none"/>
          <w:vertAlign w:val="baseline"/>
        </w:rPr>
        <w:t xml:space="preserve">,            </w:t>
      </w:r>
      <w:hyperlink r:id="rId24" w:history="1">
        <w:r>
          <w:rPr>
            <w:rFonts w:ascii="times" w:eastAsia="times" w:hAnsi="times" w:cs="times"/>
            <w:b w:val="0"/>
            <w:i/>
            <w:strike w:val="0"/>
            <w:noProof w:val="0"/>
            <w:color w:val="0077CC"/>
            <w:position w:val="0"/>
            <w:sz w:val="20"/>
            <w:u w:val="single"/>
            <w:shd w:val="clear" w:color="auto" w:fill="FFFFFF"/>
            <w:vertAlign w:val="baseline"/>
          </w:rPr>
          <w:t>South America</w:t>
        </w:r>
      </w:hyperlink>
      <w:r>
        <w:rPr>
          <w:rFonts w:ascii="times" w:eastAsia="times" w:hAnsi="times" w:cs="times"/>
          <w:b w:val="0"/>
          <w:i w:val="0"/>
          <w:strike w:val="0"/>
          <w:noProof w:val="0"/>
          <w:color w:val="000000"/>
          <w:position w:val="0"/>
          <w:sz w:val="20"/>
          <w:u w:val="none"/>
          <w:vertAlign w:val="baseline"/>
        </w:rPr>
        <w:t xml:space="preserve">,            </w:t>
      </w:r>
      <w:hyperlink r:id="rId25" w:history="1">
        <w:r>
          <w:rPr>
            <w:rFonts w:ascii="times" w:eastAsia="times" w:hAnsi="times" w:cs="times"/>
            <w:b w:val="0"/>
            <w:i/>
            <w:strike w:val="0"/>
            <w:noProof w:val="0"/>
            <w:color w:val="0077CC"/>
            <w:position w:val="0"/>
            <w:sz w:val="20"/>
            <w:u w:val="single"/>
            <w:shd w:val="clear" w:color="auto" w:fill="FFFFFF"/>
            <w:vertAlign w:val="baseline"/>
          </w:rPr>
          <w:t>North America</w:t>
        </w:r>
      </w:hyperlink>
      <w:r>
        <w:rPr>
          <w:rFonts w:ascii="times" w:eastAsia="times" w:hAnsi="times" w:cs="times"/>
          <w:b w:val="0"/>
          <w:i w:val="0"/>
          <w:strike w:val="0"/>
          <w:noProof w:val="0"/>
          <w:color w:val="000000"/>
          <w:position w:val="0"/>
          <w:sz w:val="20"/>
          <w:u w:val="none"/>
          <w:vertAlign w:val="baseline"/>
        </w:rPr>
        <w:t xml:space="preserve">,            </w:t>
      </w:r>
      <w:hyperlink r:id="rId26" w:history="1">
        <w:r>
          <w:rPr>
            <w:rFonts w:ascii="times" w:eastAsia="times" w:hAnsi="times" w:cs="times"/>
            <w:b w:val="0"/>
            <w:i/>
            <w:strike w:val="0"/>
            <w:noProof w:val="0"/>
            <w:color w:val="0077CC"/>
            <w:position w:val="0"/>
            <w:sz w:val="20"/>
            <w:u w:val="single"/>
            <w:shd w:val="clear" w:color="auto" w:fill="FFFFFF"/>
            <w:vertAlign w:val="baseline"/>
          </w:rPr>
          <w:t>United States</w:t>
        </w:r>
      </w:hyperlink>
      <w:r>
        <w:rPr>
          <w:rFonts w:ascii="times" w:eastAsia="times" w:hAnsi="times" w:cs="times"/>
          <w:b w:val="0"/>
          <w:i w:val="0"/>
          <w:strike w:val="0"/>
          <w:noProof w:val="0"/>
          <w:color w:val="000000"/>
          <w:position w:val="0"/>
          <w:sz w:val="20"/>
          <w:u w:val="none"/>
          <w:vertAlign w:val="baseline"/>
        </w:rPr>
        <w:t xml:space="preserve">,            </w:t>
      </w:r>
      <w:hyperlink r:id="rId27" w:history="1">
        <w:r>
          <w:rPr>
            <w:rFonts w:ascii="times" w:eastAsia="times" w:hAnsi="times" w:cs="times"/>
            <w:b w:val="0"/>
            <w:i/>
            <w:strike w:val="0"/>
            <w:noProof w:val="0"/>
            <w:color w:val="0077CC"/>
            <w:position w:val="0"/>
            <w:sz w:val="20"/>
            <w:u w:val="single"/>
            <w:shd w:val="clear" w:color="auto" w:fill="FFFFFF"/>
            <w:vertAlign w:val="baseline"/>
          </w:rPr>
          <w:t>Latin America</w:t>
        </w:r>
      </w:hyperlink>
      <w:r>
        <w:rPr>
          <w:rFonts w:ascii="times" w:eastAsia="times" w:hAnsi="times" w:cs="times"/>
          <w:b w:val="0"/>
          <w:i w:val="0"/>
          <w:strike w:val="0"/>
          <w:noProof w:val="0"/>
          <w:color w:val="000000"/>
          <w:position w:val="0"/>
          <w:sz w:val="20"/>
          <w:u w:val="none"/>
          <w:vertAlign w:val="baseline"/>
        </w:rPr>
        <w:t xml:space="preserve">,            </w:t>
      </w:r>
      <w:hyperlink r:id="rId28" w:history="1">
        <w:r>
          <w:rPr>
            <w:rFonts w:ascii="times" w:eastAsia="times" w:hAnsi="times" w:cs="times"/>
            <w:b w:val="0"/>
            <w:i/>
            <w:strike w:val="0"/>
            <w:noProof w:val="0"/>
            <w:color w:val="0077CC"/>
            <w:position w:val="0"/>
            <w:sz w:val="20"/>
            <w:u w:val="single"/>
            <w:shd w:val="clear" w:color="auto" w:fill="FFFFFF"/>
            <w:vertAlign w:val="baseline"/>
          </w:rPr>
          <w:t>English</w:t>
        </w:r>
      </w:hyperlink>
    </w:p>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16,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Bio Alcohol 2018-2025 Market Segment by Regions, Overall analysis , Type, Application, Sales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arketexpertz.com/sample-enquiry-form/13822" TargetMode="External" /><Relationship Id="rId11" Type="http://schemas.openxmlformats.org/officeDocument/2006/relationships/hyperlink" Target="https://www.marketexpertz.com/make-enquiry-form/13822" TargetMode="External" /><Relationship Id="rId12" Type="http://schemas.openxmlformats.org/officeDocument/2006/relationships/hyperlink" Target="https://www.marketexpertz.com/checkout-form/13822" TargetMode="External" /><Relationship Id="rId13" Type="http://schemas.openxmlformats.org/officeDocument/2006/relationships/hyperlink" Target="http://icrowdnewswire.com/tag/market-forecast/" TargetMode="External" /><Relationship Id="rId14" Type="http://schemas.openxmlformats.org/officeDocument/2006/relationships/hyperlink" Target="http://icrowdnewswire.com/tag/market-manufacturer/" TargetMode="External" /><Relationship Id="rId15" Type="http://schemas.openxmlformats.org/officeDocument/2006/relationships/hyperlink" Target="http://icrowdnewswire.com/tag/market-opportunity/" TargetMode="External" /><Relationship Id="rId16" Type="http://schemas.openxmlformats.org/officeDocument/2006/relationships/hyperlink" Target="http://icrowdnewswire.com/tag/market-share/" TargetMode="External" /><Relationship Id="rId17" Type="http://schemas.openxmlformats.org/officeDocument/2006/relationships/hyperlink" Target="http://icrowdnewswire.com/tag/market-size/" TargetMode="External" /><Relationship Id="rId18" Type="http://schemas.openxmlformats.org/officeDocument/2006/relationships/hyperlink" Target="http://icrowdnewswire.com/tag/market-trend/" TargetMode="External" /><Relationship Id="rId19" Type="http://schemas.openxmlformats.org/officeDocument/2006/relationships/hyperlink" Target="https://www.marketexpertz.com/industry-overview/bio-alcohol-market" TargetMode="External" /><Relationship Id="rId2" Type="http://schemas.openxmlformats.org/officeDocument/2006/relationships/webSettings" Target="webSettings.xml" /><Relationship Id="rId20" Type="http://schemas.openxmlformats.org/officeDocument/2006/relationships/hyperlink" Target="mailto:Statessales@marketexpertz.com" TargetMode="External" /><Relationship Id="rId21" Type="http://schemas.openxmlformats.org/officeDocument/2006/relationships/hyperlink" Target="http://icrowdnewswire.com/category/news-category/wire/" TargetMode="External" /><Relationship Id="rId22" Type="http://schemas.openxmlformats.org/officeDocument/2006/relationships/hyperlink" Target="http://icrowdnewswire.com/category/news-category/research-newswire/" TargetMode="External" /><Relationship Id="rId23" Type="http://schemas.openxmlformats.org/officeDocument/2006/relationships/hyperlink" Target="http://icrowdnewswire.com/category/news-category/press-release/" TargetMode="External" /><Relationship Id="rId24" Type="http://schemas.openxmlformats.org/officeDocument/2006/relationships/hyperlink" Target="http://icrowdnewswire.com/category/global-regions/south-america/" TargetMode="External" /><Relationship Id="rId25" Type="http://schemas.openxmlformats.org/officeDocument/2006/relationships/hyperlink" Target="http://icrowdnewswire.com/category/global-regions/north-america/" TargetMode="External" /><Relationship Id="rId26" Type="http://schemas.openxmlformats.org/officeDocument/2006/relationships/hyperlink" Target="http://icrowdnewswire.com/category/global-regions/united-states/" TargetMode="External" /><Relationship Id="rId27" Type="http://schemas.openxmlformats.org/officeDocument/2006/relationships/hyperlink" Target="http://icrowdnewswire.com/category/global-regions/latin-america/" TargetMode="External" /><Relationship Id="rId28" Type="http://schemas.openxmlformats.org/officeDocument/2006/relationships/hyperlink" Target="http://icrowdnewswire.com/category/language/english/"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TF-JWN1-JCTB-F3W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Dispatches Critical Reactors to the USA for Renewable Diesel Project ahead of schedule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