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Blockchain For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Welcomes Its Newest Member,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Services Giant Worley; Worley becomes Blockchain For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's first official oil &amp; gas industry supply member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27, 2021 Tuesday 1:15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502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Global project and asset service provider, Worley joins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the nation's first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blockchain consortium. The affiliation is effective immediately.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 membership secures Worley as the first official oil &amp; gas industry supplier within the consortium.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"It is my great pleasure to welcome Worley as the first official oil and gas industry supply member to join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said Raquel Clement, Chairperson of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board member representing Chevron.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partnership marks a milestone for the consortium, as the non-profit continues shaping the ecosystem in blockchain-related initiatives.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 look forward to the great things we will achieve together and the transformation that will result from our collaboration. Our digital future is about uniting partners for common good," said Rebecca Hofmann, President of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Membership marks alignment and acceleration toward progress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and Worley are aligned in delivering a more forward-thinking and efficient sector by leveraging blockchain technology. Through collaboration and market innovation,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reinventing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industry's workflow process by building an enterprising community.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"We're thrilled to be joining the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consortium to help transform the way transactions, documentation, and data are managed within the industry. Blockchain technology offers enormous potential for efficiency gains across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ecosystem and will enable better and more sustainable ways of working," said Vishal Mehta, Senior Vice President (Digital) at Worley, and incoming board member of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Their goal is to develop and deploy innovative, value-added solutions, modernizing the way business is done. By doing this,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optimizes cost, increases efficiency, and promotes industry growth.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 safe venue to create transformational change - for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 by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Current members are already benefitting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Current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members are already benefitting from being part of the consortium. Members include </w:t>
      </w:r>
      <w:hyperlink r:id="rId9" w:history="1">
        <w:r>
          <w:rPr>
            <w:rFonts w:ascii="times" w:eastAsia="times" w:hAnsi="times" w:cs="times"/>
            <w:b w:val="0"/>
            <w:i/>
            <w:strike w:val="0"/>
            <w:noProof w:val="0"/>
            <w:color w:val="0077CC"/>
            <w:position w:val="0"/>
            <w:sz w:val="20"/>
            <w:u w:val="single"/>
            <w:shd w:val="clear" w:color="auto" w:fill="FFFFFF"/>
            <w:vertAlign w:val="baseline"/>
          </w:rPr>
          <w:t>Chevron</w:t>
        </w:r>
      </w:hyperlink>
      <w:r>
        <w:rPr>
          <w:rFonts w:ascii="times" w:eastAsia="times" w:hAnsi="times" w:cs="times"/>
          <w:b w:val="0"/>
          <w:i w:val="0"/>
          <w:strike w:val="0"/>
          <w:noProof w:val="0"/>
          <w:color w:val="000000"/>
          <w:position w:val="0"/>
          <w:sz w:val="20"/>
          <w:u w:val="none"/>
          <w:vertAlign w:val="baseline"/>
        </w:rPr>
        <w:t xml:space="preserve"> , </w:t>
      </w:r>
      <w:hyperlink r:id="rId10" w:history="1">
        <w:r>
          <w:rPr>
            <w:rFonts w:ascii="times" w:eastAsia="times" w:hAnsi="times" w:cs="times"/>
            <w:b w:val="0"/>
            <w:i/>
            <w:strike w:val="0"/>
            <w:noProof w:val="0"/>
            <w:color w:val="0077CC"/>
            <w:position w:val="0"/>
            <w:sz w:val="20"/>
            <w:u w:val="single"/>
            <w:shd w:val="clear" w:color="auto" w:fill="FFFFFF"/>
            <w:vertAlign w:val="baseline"/>
          </w:rPr>
          <w:t>ConocoPhillips</w:t>
        </w:r>
      </w:hyperlink>
      <w:r>
        <w:rPr>
          <w:rFonts w:ascii="times" w:eastAsia="times" w:hAnsi="times" w:cs="times"/>
          <w:b w:val="0"/>
          <w:i w:val="0"/>
          <w:strike w:val="0"/>
          <w:noProof w:val="0"/>
          <w:color w:val="000000"/>
          <w:position w:val="0"/>
          <w:sz w:val="20"/>
          <w:u w:val="none"/>
          <w:vertAlign w:val="baseline"/>
        </w:rPr>
        <w:t xml:space="preserve"> , </w:t>
      </w:r>
      <w:hyperlink r:id="rId11" w:history="1">
        <w:r>
          <w:rPr>
            <w:rFonts w:ascii="times" w:eastAsia="times" w:hAnsi="times" w:cs="times"/>
            <w:b w:val="0"/>
            <w:i/>
            <w:strike w:val="0"/>
            <w:noProof w:val="0"/>
            <w:color w:val="0077CC"/>
            <w:position w:val="0"/>
            <w:sz w:val="20"/>
            <w:u w:val="single"/>
            <w:shd w:val="clear" w:color="auto" w:fill="FFFFFF"/>
            <w:vertAlign w:val="baseline"/>
          </w:rPr>
          <w:t>Hess</w:t>
        </w:r>
      </w:hyperlink>
      <w:r>
        <w:rPr>
          <w:rFonts w:ascii="times" w:eastAsia="times" w:hAnsi="times" w:cs="times"/>
          <w:b w:val="0"/>
          <w:i w:val="0"/>
          <w:strike w:val="0"/>
          <w:noProof w:val="0"/>
          <w:color w:val="000000"/>
          <w:position w:val="0"/>
          <w:sz w:val="20"/>
          <w:u w:val="none"/>
          <w:vertAlign w:val="baseline"/>
        </w:rPr>
        <w:t xml:space="preserve"> , </w:t>
      </w:r>
      <w:hyperlink r:id="rId12" w:history="1">
        <w:r>
          <w:rPr>
            <w:rFonts w:ascii="times" w:eastAsia="times" w:hAnsi="times" w:cs="times"/>
            <w:b w:val="0"/>
            <w:i/>
            <w:strike w:val="0"/>
            <w:noProof w:val="0"/>
            <w:color w:val="0077CC"/>
            <w:position w:val="0"/>
            <w:sz w:val="20"/>
            <w:u w:val="single"/>
            <w:shd w:val="clear" w:color="auto" w:fill="FFFFFF"/>
            <w:vertAlign w:val="baseline"/>
          </w:rPr>
          <w:t>ExxonMobil</w:t>
        </w:r>
      </w:hyperlink>
      <w:r>
        <w:rPr>
          <w:rFonts w:ascii="times" w:eastAsia="times" w:hAnsi="times" w:cs="times"/>
          <w:b w:val="0"/>
          <w:i w:val="0"/>
          <w:strike w:val="0"/>
          <w:noProof w:val="0"/>
          <w:color w:val="000000"/>
          <w:position w:val="0"/>
          <w:sz w:val="20"/>
          <w:u w:val="none"/>
          <w:vertAlign w:val="baseline"/>
        </w:rPr>
        <w:t xml:space="preserve"> , </w:t>
      </w:r>
      <w:hyperlink r:id="rId13" w:history="1">
        <w:r>
          <w:rPr>
            <w:rFonts w:ascii="times" w:eastAsia="times" w:hAnsi="times" w:cs="times"/>
            <w:b w:val="0"/>
            <w:i/>
            <w:strike w:val="0"/>
            <w:noProof w:val="0"/>
            <w:color w:val="0077CC"/>
            <w:position w:val="0"/>
            <w:sz w:val="20"/>
            <w:u w:val="single"/>
            <w:shd w:val="clear" w:color="auto" w:fill="FFFFFF"/>
            <w:vertAlign w:val="baseline"/>
          </w:rPr>
          <w:t>Pioneer Natural Resources</w:t>
        </w:r>
      </w:hyperlink>
      <w:r>
        <w:rPr>
          <w:rFonts w:ascii="times" w:eastAsia="times" w:hAnsi="times" w:cs="times"/>
          <w:b w:val="0"/>
          <w:i w:val="0"/>
          <w:strike w:val="0"/>
          <w:noProof w:val="0"/>
          <w:color w:val="000000"/>
          <w:position w:val="0"/>
          <w:sz w:val="20"/>
          <w:u w:val="none"/>
          <w:vertAlign w:val="baseline"/>
        </w:rPr>
        <w:t xml:space="preserve"> , and </w:t>
      </w:r>
      <w:hyperlink r:id="rId14" w:history="1">
        <w:r>
          <w:rPr>
            <w:rFonts w:ascii="times" w:eastAsia="times" w:hAnsi="times" w:cs="times"/>
            <w:b w:val="0"/>
            <w:i/>
            <w:strike w:val="0"/>
            <w:noProof w:val="0"/>
            <w:color w:val="0077CC"/>
            <w:position w:val="0"/>
            <w:sz w:val="20"/>
            <w:u w:val="single"/>
            <w:shd w:val="clear" w:color="auto" w:fill="FFFFFF"/>
            <w:vertAlign w:val="baseline"/>
          </w:rPr>
          <w:t>Repsol</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Worley</w:t>
      </w:r>
    </w:p>
    <w:p>
      <w:pPr>
        <w:keepNext w:val="0"/>
        <w:spacing w:before="200" w:after="0" w:line="260" w:lineRule="atLeast"/>
        <w:ind w:left="0" w:right="0" w:firstLine="0"/>
        <w:jc w:val="both"/>
      </w:pPr>
      <w:hyperlink r:id="rId15" w:history="1">
        <w:r>
          <w:rPr>
            <w:rFonts w:ascii="times" w:eastAsia="times" w:hAnsi="times" w:cs="times"/>
            <w:b w:val="0"/>
            <w:i/>
            <w:strike w:val="0"/>
            <w:color w:val="0077CC"/>
            <w:sz w:val="20"/>
            <w:u w:val="single"/>
            <w:shd w:val="clear" w:color="auto" w:fill="FFFFFF"/>
            <w:vertAlign w:val="baseline"/>
          </w:rPr>
          <w:t>Worley</w:t>
        </w:r>
      </w:hyperlink>
      <w:r>
        <w:rPr>
          <w:rFonts w:ascii="times" w:eastAsia="times" w:hAnsi="times" w:cs="times"/>
          <w:b w:val="0"/>
          <w:i w:val="0"/>
          <w:strike w:val="0"/>
          <w:noProof w:val="0"/>
          <w:color w:val="000000"/>
          <w:position w:val="0"/>
          <w:sz w:val="20"/>
          <w:u w:val="none"/>
          <w:vertAlign w:val="baseline"/>
        </w:rPr>
        <w:t xml:space="preserve"> is a leading global provider of professional project and asset services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chemicals and resources sectors. As a knowledge-based service provider, Worley use their knowledge and capabilities to support their customers to reduce their emissions and move towards a low-carbon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Blockchain For </w:t>
      </w:r>
      <w:r>
        <w:rPr>
          <w:rFonts w:ascii="times" w:eastAsia="times" w:hAnsi="times" w:cs="times"/>
          <w:b/>
          <w:i/>
          <w:strike w:val="0"/>
          <w:noProof w:val="0"/>
          <w:color w:val="000000"/>
          <w:position w:val="0"/>
          <w:sz w:val="20"/>
          <w:u w:val="single"/>
          <w:vertAlign w:val="baseline"/>
        </w:rPr>
        <w:t>Energy</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Utilizing the benefits of blockchain technology, </w:t>
      </w:r>
      <w:hyperlink r:id="rId16" w:history="1">
        <w:r>
          <w:rPr>
            <w:rFonts w:ascii="times" w:eastAsia="times" w:hAnsi="times" w:cs="times"/>
            <w:b w:val="0"/>
            <w:i/>
            <w:strike w:val="0"/>
            <w:noProof w:val="0"/>
            <w:color w:val="0077CC"/>
            <w:position w:val="0"/>
            <w:sz w:val="20"/>
            <w:u w:val="single"/>
            <w:shd w:val="clear" w:color="auto" w:fill="FFFFFF"/>
            <w:vertAlign w:val="baseline"/>
          </w:rPr>
          <w:t xml:space="preserve">Blockchain for </w:t>
        </w:r>
      </w:hyperlink>
      <w:hyperlink r:id="rId16" w:history="1">
        <w:r>
          <w:rPr>
            <w:rFonts w:ascii="times" w:eastAsia="times" w:hAnsi="times" w:cs="times"/>
            <w:b/>
            <w:i/>
            <w:strike w:val="0"/>
            <w:noProof w:val="0"/>
            <w:color w:val="0077CC"/>
            <w:position w:val="0"/>
            <w:sz w:val="20"/>
            <w:u w:val="single"/>
            <w:shd w:val="clear" w:color="auto" w:fill="FFFFFF"/>
            <w:vertAlign w:val="baseline"/>
          </w:rPr>
          <w:t>Energy</w:t>
        </w:r>
      </w:hyperlink>
      <w:r>
        <w:rPr>
          <w:rFonts w:ascii="times" w:eastAsia="times" w:hAnsi="times" w:cs="times"/>
          <w:b w:val="0"/>
          <w:i w:val="0"/>
          <w:strike w:val="0"/>
          <w:noProof w:val="0"/>
          <w:color w:val="000000"/>
          <w:position w:val="0"/>
          <w:sz w:val="20"/>
          <w:u w:val="none"/>
          <w:vertAlign w:val="baseline"/>
        </w:rPr>
        <w:t xml:space="preserve"> provides its members with the best in industry solutions. They drive digital transformation by providing members a venue to accelerate the digitalization journey to resolve, reinvent, and transform the industry through collective synergies.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7"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https://www.businesswire.com/news/home/20210427005064/en/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Martin Juniper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Blockchain For </w:t>
      </w:r>
      <w:r>
        <w:rPr>
          <w:rFonts w:ascii="times" w:eastAsia="times" w:hAnsi="times" w:cs="times"/>
          <w:b/>
          <w:i/>
          <w:strike w:val="0"/>
          <w:noProof w:val="0"/>
          <w:color w:val="000000"/>
          <w:position w:val="0"/>
          <w:sz w:val="20"/>
          <w:u w:val="single"/>
          <w:vertAlign w:val="baseline"/>
        </w:rPr>
        <w:t>Energy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713.816.4173</w:t>
      </w:r>
    </w:p>
    <w:p>
      <w:pPr>
        <w:keepNext w:val="0"/>
        <w:spacing w:before="240" w:after="0" w:line="260" w:lineRule="atLeast"/>
        <w:ind w:left="0" w:right="0" w:firstLine="0"/>
        <w:jc w:val="both"/>
      </w:pPr>
      <w:hyperlink r:id="rId18" w:history="1">
        <w:r>
          <w:rPr>
            <w:rFonts w:ascii="times" w:eastAsia="times" w:hAnsi="times" w:cs="times"/>
            <w:b w:val="0"/>
            <w:i/>
            <w:strike w:val="0"/>
            <w:color w:val="0077CC"/>
            <w:sz w:val="20"/>
            <w:u w:val="single"/>
            <w:shd w:val="clear" w:color="auto" w:fill="FFFFFF"/>
            <w:vertAlign w:val="baseline"/>
          </w:rPr>
          <w:t>social@blockchainforenergy.net</w:t>
        </w:r>
      </w:hyperlink>
    </w:p>
    <w:p>
      <w:pPr>
        <w:keepNext w:val="0"/>
        <w:spacing w:before="240" w:after="0" w:line="260" w:lineRule="atLeast"/>
        <w:ind w:left="0" w:right="0" w:firstLine="0"/>
        <w:jc w:val="left"/>
      </w:pPr>
      <w:r>
        <w:br/>
      </w:r>
      <w:hyperlink r:id="rId19"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27,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Blockchain For Energy Welcomes Its Newest Member, Energy Services Giant Worley; Worley becomes Blockchain For Energy's first official oil &amp; gas industry supply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conocophillips.com%2F&amp;esheet=52417341&amp;newsitemid=20210427005064&amp;lan=en-US&amp;anchor=ConocoPhillips&amp;index=2&amp;md5=d64a345dd8735e609d4bd0148157b73b" TargetMode="External" /><Relationship Id="rId11" Type="http://schemas.openxmlformats.org/officeDocument/2006/relationships/hyperlink" Target="https://cts.businesswire.com/ct/CT?id=smartlink&amp;url=https%3A%2F%2Fwww.hess.com%2F&amp;esheet=52417341&amp;newsitemid=20210427005064&amp;lan=en-US&amp;anchor=Hess&amp;index=3&amp;md5=597d27cc22b711c574e9ad5bb05d1141" TargetMode="External" /><Relationship Id="rId12" Type="http://schemas.openxmlformats.org/officeDocument/2006/relationships/hyperlink" Target="https://cts.businesswire.com/ct/CT?id=smartlink&amp;url=https%3A%2F%2Fcorporate.exxonmobil.com%2F&amp;esheet=52417341&amp;newsitemid=20210427005064&amp;lan=en-US&amp;anchor=ExxonMobil&amp;index=4&amp;md5=80270aa9c565f1ca8e621d3be5af4cc3" TargetMode="External" /><Relationship Id="rId13" Type="http://schemas.openxmlformats.org/officeDocument/2006/relationships/hyperlink" Target="https://cts.businesswire.com/ct/CT?id=smartlink&amp;url=https%3A%2F%2Fwww.pxd.com%2F&amp;esheet=52417341&amp;newsitemid=20210427005064&amp;lan=en-US&amp;anchor=Pioneer+Natural+Resources&amp;index=5&amp;md5=2abca661bfed6d80e8c8d058c59c860a" TargetMode="External" /><Relationship Id="rId14" Type="http://schemas.openxmlformats.org/officeDocument/2006/relationships/hyperlink" Target="https://cts.businesswire.com/ct/CT?id=smartlink&amp;url=https%3A%2F%2Fwww.repsol.com%2Fen%2Findex.cshtml&amp;esheet=52417341&amp;newsitemid=20210427005064&amp;lan=en-US&amp;anchor=Repsol&amp;index=6&amp;md5=73f14cec3e7ec09c2ff2578b27d1e559" TargetMode="External" /><Relationship Id="rId15" Type="http://schemas.openxmlformats.org/officeDocument/2006/relationships/hyperlink" Target="https://cts.businesswire.com/ct/CT?id=smartlink&amp;url=https%3A%2F%2Fwww.worley.com%2F&amp;esheet=52417341&amp;newsitemid=20210427005064&amp;lan=en-US&amp;anchor=Worley&amp;index=7&amp;md5=b03867caf427e01fce055134ee615a36" TargetMode="External" /><Relationship Id="rId16" Type="http://schemas.openxmlformats.org/officeDocument/2006/relationships/hyperlink" Target="https://cts.businesswire.com/ct/CT?id=smartlink&amp;url=https%3A%2F%2Fwww.blockchainforenergy.net%2F&amp;esheet=52417341&amp;newsitemid=20210427005064&amp;lan=en-US&amp;anchor=Blockchain+for+Energy&amp;index=8&amp;md5=5bcfd17eeffbc1a14dac6aef26509456" TargetMode="External" /><Relationship Id="rId17" Type="http://schemas.openxmlformats.org/officeDocument/2006/relationships/hyperlink" Target="https://www.businesswire.com/news/home/20210427005064/en/" TargetMode="External" /><Relationship Id="rId18" Type="http://schemas.openxmlformats.org/officeDocument/2006/relationships/hyperlink" Target="mailto:social@blockchainforenergy.net" TargetMode="External" /><Relationship Id="rId19" Type="http://schemas.openxmlformats.org/officeDocument/2006/relationships/hyperlink" Target="http://www.businesswire.com"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J3-64H1-JBG1-84DS-00000-00&amp;context=1516831" TargetMode="External" /><Relationship Id="rId9" Type="http://schemas.openxmlformats.org/officeDocument/2006/relationships/hyperlink" Target="https://cts.businesswire.com/ct/CT?id=smartlink&amp;url=https%3A%2F%2Fwww.chevron.com%2F&amp;esheet=52417341&amp;newsitemid=20210427005064&amp;lan=en-US&amp;anchor=Chevron&amp;index=1&amp;md5=6843c1304da5a527747618a2cbc15db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For Energy Welcomes Its Newest Member, Energy Services Giant Worley; Worley becomes Blockchain For Energy's first official oil &amp; gas industry supply member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