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Cairn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PLC Directorate Change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London Stock Exchange Aggregated Regulatory News Service (ARNS)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29, 2019 Monday 7:02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London Stock Exchange All Rights Reserved</w:t>
      </w:r>
    </w:p>
    <w:p>
      <w:pPr>
        <w:keepNext w:val="0"/>
        <w:spacing w:before="120" w:after="0" w:line="220" w:lineRule="atLeast"/>
        <w:ind w:left="0" w:right="0" w:firstLine="0"/>
        <w:jc w:val="left"/>
      </w:pPr>
      <w:r>
        <w:br/>
      </w:r>
      <w:r>
        <w:pict>
          <v:shape id="_x0000_i1026" type="#_x0000_t75" style="width:184.5pt;height:4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TIDMCNE</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RNS Number : 2927X</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Cairn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PLC</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29 April 2019</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FOR IMMEDIATE RELEASE                                                                                                  29 April 2019</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CAIRN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PLC ("Cairn" or "the Company")</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Appointment of Non-Executive Director</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Cairn is pleased to announce the appointment of Catherine Krajicek as an independent non-executive director with effect from 1 July 2019.</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Catherine Krajicek</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Catherine Krajicek holds a BSc and MSc in Petroleum Engineering from the Colorado School of Mines. After graduating, Catherine joined Conoco as an associate engineer and remained with the company for a total of 22 years progressing through a variety of oil and gas technical and subsequently asset management roles in both the US and Indonesia.</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2007, Catherine left ConocoPhillips and joined Marathon Oil as asset manager for their Bakken assets before becoming project manager for Marathon's Droshky subsea development project in Deepwater Gulf of Mexico, and then asset manager for all of Marathon's production operations in the Gulf of Mexico.</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2011, Catherine was appointed regional vice president to manage one of Marathon's largest assets at the Punto Europea industrial complex on Bioko Island, Equatorial Guinea. Before retiring from Marathon in 2018 Catherine also held a range of other vice president (VP) positions there, including VP, Health, </w:t>
      </w:r>
      <w:r>
        <w:rPr>
          <w:rFonts w:ascii="Courier" w:eastAsia="Courier" w:hAnsi="Courier" w:cs="Courier"/>
          <w:b/>
          <w:i/>
          <w:strike w:val="0"/>
          <w:noProof w:val="0"/>
          <w:color w:val="000000"/>
          <w:position w:val="0"/>
          <w:sz w:val="16"/>
          <w:u w:val="single"/>
          <w:vertAlign w:val="baseline"/>
        </w:rPr>
        <w:t>Environment</w:t>
      </w:r>
      <w:r>
        <w:rPr>
          <w:rFonts w:ascii="Courier" w:eastAsia="Courier" w:hAnsi="Courier" w:cs="Courier"/>
          <w:b w:val="0"/>
          <w:i w:val="0"/>
          <w:strike w:val="0"/>
          <w:noProof w:val="0"/>
          <w:color w:val="000000"/>
          <w:position w:val="0"/>
          <w:sz w:val="16"/>
          <w:u w:val="none"/>
          <w:vertAlign w:val="baseline"/>
        </w:rPr>
        <w:t>, Safety and Security, VP, Technology and Innovation, and VP, Conventional Assets.</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During her executive career, Catherine has lived and worked in a number of different locations in the US and internationally as well as managing assets and projects in a variety of countries worldwide.</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Ian Tyler, Chairman of Cairn, said:</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 am delighted to welcome Catherine to the Cairn Board. Her strong technical background and depth and breadth of senior management oil and gas industry experience across many different assets and countries will be a significant asset to the Board. We look forward to working with Catherine as the Company continues to deliver on its strategic objectives."</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NOTES</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   Cairn instructed independent recruitment consultants Spencer Stuart in connection with the appointment of Catherine Krajicek.</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   Catherine Krajicek does not currently hold any Cairn shares and no further information in connection with her appointment is required to be disclosed pursuant to Listing Rule 9.6.13R.</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   The fees payable to Catherine Krajicek in her role as non-executive director are currently GBP75,500 per annum. The fees payable to Cairn's non-executive directors are reviewed on an annual basis.</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This information is provided by RNS, the news service of the London Stock Exchange. RNS is approved by the Financial Conduct Authority to act as a Primary Information Provider in the United Kingdom. Terms and conditions relating to the use and distribution of this information may apply. For further information, please contact </w:t>
      </w:r>
      <w:hyperlink r:id="rId10" w:history="1">
        <w:r>
          <w:rPr>
            <w:rFonts w:ascii="Courier" w:eastAsia="Courier" w:hAnsi="Courier" w:cs="Courier"/>
            <w:b w:val="0"/>
            <w:i/>
            <w:strike w:val="0"/>
            <w:noProof w:val="0"/>
            <w:color w:val="0077CC"/>
            <w:position w:val="0"/>
            <w:sz w:val="16"/>
            <w:u w:val="single"/>
            <w:shd w:val="clear" w:color="auto" w:fill="FFFFFF"/>
            <w:vertAlign w:val="baseline"/>
          </w:rPr>
          <w:t>rns@lseg.com</w:t>
        </w:r>
      </w:hyperlink>
      <w:r>
        <w:rPr>
          <w:rFonts w:ascii="Courier" w:eastAsia="Courier" w:hAnsi="Courier" w:cs="Courier"/>
          <w:b w:val="0"/>
          <w:i w:val="0"/>
          <w:strike w:val="0"/>
          <w:noProof w:val="0"/>
          <w:color w:val="000000"/>
          <w:position w:val="0"/>
          <w:sz w:val="16"/>
          <w:u w:val="none"/>
          <w:vertAlign w:val="baseline"/>
        </w:rPr>
        <w:t xml:space="preserve"> or visit </w:t>
      </w:r>
      <w:hyperlink r:id="rId11" w:history="1">
        <w:r>
          <w:rPr>
            <w:rFonts w:ascii="Courier" w:eastAsia="Courier" w:hAnsi="Courier" w:cs="Courier"/>
            <w:b w:val="0"/>
            <w:i/>
            <w:strike w:val="0"/>
            <w:noProof w:val="0"/>
            <w:color w:val="0077CC"/>
            <w:position w:val="0"/>
            <w:sz w:val="16"/>
            <w:u w:val="single"/>
            <w:shd w:val="clear" w:color="auto" w:fill="FFFFFF"/>
            <w:vertAlign w:val="baseline"/>
          </w:rPr>
          <w:t>www.rns.com</w:t>
        </w:r>
      </w:hyperlink>
      <w:r>
        <w:rPr>
          <w:rFonts w:ascii="Courier" w:eastAsia="Courier" w:hAnsi="Courier" w:cs="Courier"/>
          <w:b w:val="0"/>
          <w:i w:val="0"/>
          <w:strike w:val="0"/>
          <w:noProof w:val="0"/>
          <w:color w:val="000000"/>
          <w:position w:val="0"/>
          <w:sz w:val="16"/>
          <w:u w:val="none"/>
          <w:vertAlign w:val="baseline"/>
        </w:rPr>
        <w:t>.</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END</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BOALLFVSSIIRFIA</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Cairn Energy PLC Directorate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ns@lseg.com" TargetMode="External" /><Relationship Id="rId11" Type="http://schemas.openxmlformats.org/officeDocument/2006/relationships/hyperlink" Target="http://www.rn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0S-74M1-F0CC-S363-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Renewable Natural Gas Management Team Forms Viridi Energy with Equity Commitment from Warburg Pincus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