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Delta Air Lines, and Google Announce Intent to Measure Sustainable Aviation Fuel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Data, Increase Industry Transparency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7, 2021 Tuesday 8:00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1645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&amp; MOUNTAIN VIEW, Calif. &amp; ATLANTA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U.S.A. Inc., through its Chevron Products Company division (Chevron), Delta Air Lines (Delta), and Google today announced a memorandum of understanding (MOU) to track sustainable aviation fuel (SAF) test batch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using cloud-based technology.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https://www.businesswire.com/news/home/20210907005690/en/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Sustainable aviation fuel is produced from biofeedstocks that can reduce lifecycle carbon intensity significantly when compared to conventional jet fuel. The companies hope to create a common, more transparent model for analyzing potential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that could then be adopted by organizations considering SAF programs. Through this project, Chevron plans to produce a test batch of SAF at its El Segundo Refinery and to sell SAF to Delta at Los Angeles International Airport (LAX), a major global hub for Delta's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aviation continues to define a more sustainable future, understanding the environmental impacts of our operations will be paramount as we look to mitigate climate change," said Amelia DeLuca, Delta's managing director of Sustainability. "On top of being the first carbon neutral airline on a global basis, we've pledged to replace 10 percent of our jet fuel with SAF by 2030. This partnership has the potential to help us achieve that goal while providing important data and analytics that demonstrate the environmental integrity of our commitment."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MOU builds on our previously announced effort to be the first refiner in the U.S. to ratably co-process biofeedstocks in an FCC through a capital-efficient investment program," said Andy Walz, president of Americas Fuels &amp; Lubricants for Chevron. "The data sharing and transparency component of this partnership will help us better understand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sustainable aviation fuel production and delivery, supporting our goal to advance lower carbon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parallel, Google Cloud plans to build a data and analytics framework to securely ingest and analyze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Delta and Chevron related to the SAF test batch. The goal of the pilot will be to provide better visibility into data from their project, allowing for greater transparency and improved reporting of SAF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"Google Cloud has a history of pioneering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technologies and we're looking forward to exploring the use of data and analytics capabilities to advance renewable fuel understanding and adoption," said Larry Cochrane, director, Global Energy Solutions, Google Cloud.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To advance a lower-carbon future, we are focused on cost efficiently lowering our carbon intensity, increasing renewables and offsets in support of our business, and investing in low-carbon technologies that enable commercial solutions.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Delta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From being the first and only U.S. airline to voluntarily cap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2012 levels to last year's commitment to be the first carbon-neutral airline globally, Delta has a longstanding commitment to sustainable air travel. Delta was the No. 1 airline named among </w:t>
      </w:r>
      <w:hyperlink r:id="rId11" w:history="1">
        <w:r>
          <w:rPr>
            <w:rFonts w:ascii="times" w:eastAsia="times" w:hAnsi="times" w:cs="times"/>
            <w:b w:val="0"/>
            <w:i/>
            <w:strike w:val="0"/>
            <w:noProof w:val="0"/>
            <w:color w:val="0077CC"/>
            <w:position w:val="0"/>
            <w:sz w:val="20"/>
            <w:u w:val="single"/>
            <w:shd w:val="clear" w:color="auto" w:fill="FFFFFF"/>
            <w:vertAlign w:val="baseline"/>
          </w:rPr>
          <w:t>America's Most Sustainable Companies by Barron's</w:t>
        </w:r>
      </w:hyperlink>
      <w:r>
        <w:rPr>
          <w:rFonts w:ascii="times" w:eastAsia="times" w:hAnsi="times" w:cs="times"/>
          <w:b w:val="0"/>
          <w:i w:val="0"/>
          <w:strike w:val="0"/>
          <w:noProof w:val="0"/>
          <w:color w:val="000000"/>
          <w:position w:val="0"/>
          <w:sz w:val="20"/>
          <w:u w:val="none"/>
          <w:vertAlign w:val="baseline"/>
        </w:rPr>
        <w:t xml:space="preserve"> in 2020, the only U.S. airline included in the 2021 S&amp;P Sustainability Yearbook and has received the </w:t>
      </w:r>
      <w:hyperlink r:id="rId12" w:history="1">
        <w:r>
          <w:rPr>
            <w:rFonts w:ascii="times" w:eastAsia="times" w:hAnsi="times" w:cs="times"/>
            <w:b w:val="0"/>
            <w:i/>
            <w:strike w:val="0"/>
            <w:noProof w:val="0"/>
            <w:color w:val="0077CC"/>
            <w:position w:val="0"/>
            <w:sz w:val="20"/>
            <w:u w:val="single"/>
            <w:shd w:val="clear" w:color="auto" w:fill="FFFFFF"/>
            <w:vertAlign w:val="baseline"/>
          </w:rPr>
          <w:t>Vision for America</w:t>
        </w:r>
      </w:hyperlink>
      <w:r>
        <w:rPr>
          <w:rFonts w:ascii="times" w:eastAsia="times" w:hAnsi="times" w:cs="times"/>
          <w:b w:val="0"/>
          <w:i w:val="0"/>
          <w:strike w:val="0"/>
          <w:noProof w:val="0"/>
          <w:color w:val="000000"/>
          <w:position w:val="0"/>
          <w:sz w:val="20"/>
          <w:u w:val="none"/>
          <w:vertAlign w:val="baseline"/>
        </w:rPr>
        <w:t xml:space="preserve"> Award by Keep America Beautiful and Captain Planet Foundation's </w:t>
      </w:r>
      <w:hyperlink r:id="rId13" w:history="1">
        <w:r>
          <w:rPr>
            <w:rFonts w:ascii="times" w:eastAsia="times" w:hAnsi="times" w:cs="times"/>
            <w:b w:val="0"/>
            <w:i/>
            <w:strike w:val="0"/>
            <w:noProof w:val="0"/>
            <w:color w:val="0077CC"/>
            <w:position w:val="0"/>
            <w:sz w:val="20"/>
            <w:u w:val="single"/>
            <w:shd w:val="clear" w:color="auto" w:fill="FFFFFF"/>
            <w:vertAlign w:val="baseline"/>
          </w:rPr>
          <w:t>Superhero Corporate Award</w:t>
        </w:r>
      </w:hyperlink>
      <w:r>
        <w:rPr>
          <w:rFonts w:ascii="times" w:eastAsia="times" w:hAnsi="times" w:cs="times"/>
          <w:b w:val="0"/>
          <w:i w:val="0"/>
          <w:strike w:val="0"/>
          <w:noProof w:val="0"/>
          <w:color w:val="000000"/>
          <w:position w:val="0"/>
          <w:sz w:val="20"/>
          <w:u w:val="none"/>
          <w:vertAlign w:val="baseline"/>
        </w:rPr>
        <w:t xml:space="preserve"> . Delta has also earned a spot on the FTSE4Good Index for six consecutive years and the </w:t>
      </w:r>
      <w:hyperlink r:id="rId14" w:history="1">
        <w:r>
          <w:rPr>
            <w:rFonts w:ascii="times" w:eastAsia="times" w:hAnsi="times" w:cs="times"/>
            <w:b w:val="0"/>
            <w:i/>
            <w:strike w:val="0"/>
            <w:noProof w:val="0"/>
            <w:color w:val="0077CC"/>
            <w:position w:val="0"/>
            <w:sz w:val="20"/>
            <w:u w:val="single"/>
            <w:shd w:val="clear" w:color="auto" w:fill="FFFFFF"/>
            <w:vertAlign w:val="baseline"/>
          </w:rPr>
          <w:t>Dow Jones Sustainability North America Index</w:t>
        </w:r>
      </w:hyperlink>
      <w:r>
        <w:rPr>
          <w:rFonts w:ascii="times" w:eastAsia="times" w:hAnsi="times" w:cs="times"/>
          <w:b w:val="0"/>
          <w:i w:val="0"/>
          <w:strike w:val="0"/>
          <w:noProof w:val="0"/>
          <w:color w:val="000000"/>
          <w:position w:val="0"/>
          <w:sz w:val="20"/>
          <w:u w:val="none"/>
          <w:vertAlign w:val="baseline"/>
        </w:rPr>
        <w:t xml:space="preserve"> for ten consecutive years. For more information, visit </w:t>
      </w:r>
      <w:hyperlink r:id="rId15" w:history="1">
        <w:r>
          <w:rPr>
            <w:rFonts w:ascii="times" w:eastAsia="times" w:hAnsi="times" w:cs="times"/>
            <w:b w:val="0"/>
            <w:i/>
            <w:strike w:val="0"/>
            <w:noProof w:val="0"/>
            <w:color w:val="0077CC"/>
            <w:position w:val="0"/>
            <w:sz w:val="20"/>
            <w:u w:val="single"/>
            <w:shd w:val="clear" w:color="auto" w:fill="FFFFFF"/>
            <w:vertAlign w:val="baseline"/>
          </w:rPr>
          <w:t>Delta.com/sustainability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Google Cloud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Google Cloud accelerates organizations' ability to digitally transform their business with the best infrastructure, platform, industry solutions and expertise. We deliver enterprise-grade solutions that leverage Google's cutting-edge technology - all on the cleanest cloud in the industry. Customers in more than 200 countries and territories turn to Google Cloud as their trusted partner to enable growth and solve their most critical business problems.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our products, and production curtailments due to market conditions; crude oil production quotas or other actions that might be imposed by the Organization of Petroleum Exporting Countries and other producing countries; public health crises, such as pandemics (including coronavirus (COVID-19)) and epidemics, and any related government policies and actions;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oil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oil and natural gas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ability to achieve the anticipated benefits from the acquisition of Noble Energy, Inc.;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company's 2020 Annual Report on Form 10-K and in other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https://www.businesswire.com/news/home/20210907005690/en/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Tyler Kruzich, Chevron</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TKruzich@chevron.com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(925) 549-8686Grant Myatt, Delta</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grant.myatt@delta.com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(917) 597-2473Google Cloud</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press@google.com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7,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Delta Air Lines, and Google Announce Intent to Measure Sustainable Aviation Fuel Emissions Data, Increase Industry Transparency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hevron.com%2F&amp;esheet=52487004&amp;newsitemid=20210907005690&amp;lan=en-US&amp;anchor=www.chevron.com&amp;index=1&amp;md5=f491ec488cc4f0c0c9b6cc8142ee7349" TargetMode="External" /><Relationship Id="rId11" Type="http://schemas.openxmlformats.org/officeDocument/2006/relationships/hyperlink" Target="https://cts.businesswire.com/ct/CT?id=smartlink&amp;url=https%3A%2F%2Fnews.delta.com%2Fdelta-named-among-americas-most-sustainable-companies-barrons&amp;esheet=52487004&amp;newsitemid=20210907005690&amp;lan=en-US&amp;anchor=America%26%238217%3Bs+Most+Sustainable+Companies+by+Barron%26%238217%3Bs&amp;index=2&amp;md5=5c8680df82858ce18da4dabbccf99bb6" TargetMode="External" /><Relationship Id="rId12" Type="http://schemas.openxmlformats.org/officeDocument/2006/relationships/hyperlink" Target="https://cts.businesswire.com/ct/CT?id=smartlink&amp;url=https%3A%2F%2Fnews.delta.com%2Fkeep-america-beautiful-recognizes-delta-sustainability-community-efforts&amp;esheet=52487004&amp;newsitemid=20210907005690&amp;lan=en-US&amp;anchor=Vision+for+America&amp;index=3&amp;md5=48a3ec8e0e682e237b9c628aad0ea07c" TargetMode="External" /><Relationship Id="rId13" Type="http://schemas.openxmlformats.org/officeDocument/2006/relationships/hyperlink" Target="https://cts.businesswire.com/ct/CT?id=smartlink&amp;url=https%3A%2F%2Fnews.delta.com%2Fdelta-recognized-corporate-superhero-captain-planet-foundation&amp;esheet=52487004&amp;newsitemid=20210907005690&amp;lan=en-US&amp;anchor=Superhero+Corporate+Award&amp;index=4&amp;md5=1f08d2cedaf233830ac5bdc788b0a90c" TargetMode="External" /><Relationship Id="rId14" Type="http://schemas.openxmlformats.org/officeDocument/2006/relationships/hyperlink" Target="https://cts.businesswire.com/ct/CT?id=smartlink&amp;url=https%3A%2F%2Fnews.delta.com%2Fdelta-earns-high-marks-sustainability-four-organizations&amp;esheet=52487004&amp;newsitemid=20210907005690&amp;lan=en-US&amp;anchor=Dow+Jones+Sustainability+North+America+Index&amp;index=5&amp;md5=efe593c040d8bbc39af0584f477a08f9" TargetMode="External" /><Relationship Id="rId15" Type="http://schemas.openxmlformats.org/officeDocument/2006/relationships/hyperlink" Target="https://cts.businesswire.com/ct/CT?id=smartlink&amp;url=https%3A%2F%2Fwww.delta.com%2Fus%2Fen%2Fabout-delta%2Fsustainability&amp;esheet=52487004&amp;newsitemid=20210907005690&amp;lan=en-US&amp;anchor=Delta.com%2Fsustainability&amp;index=6&amp;md5=87fbb568ee9ca5ce467878d833139cc2" TargetMode="External" /><Relationship Id="rId16" Type="http://schemas.openxmlformats.org/officeDocument/2006/relationships/hyperlink" Target="mailto:TKruzich@chevron.com" TargetMode="External" /><Relationship Id="rId17" Type="http://schemas.openxmlformats.org/officeDocument/2006/relationships/hyperlink" Target="mailto:Kenny_Kate@cat.com" TargetMode="External" /><Relationship Id="rId18" Type="http://schemas.openxmlformats.org/officeDocument/2006/relationships/hyperlink" Target="mailto:press@google.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JG-DGD1-JBG1-813X-00000-00&amp;context=1516831" TargetMode="External" /><Relationship Id="rId9" Type="http://schemas.openxmlformats.org/officeDocument/2006/relationships/hyperlink" Target="https://www.businesswire.com/news/home/20210907005690/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Delta Air Lines, and Google Announce Intent to Measure Sustainable Aviation Fuel Emissions Data, Increase Industry Transparency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