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Announces Increase in Quarterly Dividend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Ramon: CHEVRON CORP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RAMON, Calif.--(BUSINESS WIRE)--Jan. 31, 2018-- The Board of Directors of Chevron Corporation (NYSE: CVX) today declared a quarterly dividend of one dollar and twelve cents($1.12) per share, payable March 12, 2018, to all holders of common stock as shown on the transfer records of the Corporation at the close of business February 16,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increase puts Chevron on track to make 2018 the 31st consecutive year with an increase in annual dividend payout.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STATEMENTS RELEVANT TO FORWARD-LOOKING INFORMATION FOR THE PURPOSE OF “SAFE HARBOR” PROVISIONS OF THE PRIVATE SECURITIES LITIGATION REFORM ACT OF 1995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“forecasts,” “projects,” “believes,” “seeks,” “schedules,” “estimates,” “positions,” “pursues,” “may,” “could,” “should,” “budgets,” “outlook,” “trends,” ”guidance,” “focus,” “on schedule,” “on track,” “goals,” “objectives,” “strategies,” “opportunities,”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press release. Unless legally required, Chevron undertakes no obligation to update publicly any forward-looking statements, whether as a result of new information, future events or otherwise.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changing refining, marketing and chemicals margins; the company's ability to realize anticipated cost savings and expenditure reductions;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and terrorist acts, crude oil production quotas or other actions that might be imposed by the Organization of Petroleum Exporting Countries, or other natural or human causes beyond its control; changing economic, regulatory and political environments in the various countries in which the company operates; general domestic and international economic and political conditions;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potential liability resulting from other pending or future litigation; the company’s future acquisition or disposition of assets or shares or the delay or failure of such transactions to close based on required closing conditions; the potential for gains and losses from asset dispositions or impairments; government-mandated sales, divestitures, recapitalizations, industry-specific taxes, changes in fiscal terms or restrictions on scope of company operations; foreign currency movements compared with the U.S. dollar; material reductions in corporate liquidity and access to debt markets; the impact of the 2017 U.S. tax legislation on the company’s future results;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22 of the company’s 2016 Annual Report on Form 10-K. Other unpredictable or unknown factors not discussed in this press release could also have material adverse effects on forward-looking statements.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Announces Increase in Quarterly Dividend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F-N8T1-J9XT-P4TF-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Announces Appointment of Dr. Wanda M. Austin as Lead Independent Director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