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China Biodiesel Market Analysis : Business Plan and Top Manufacturers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iCrowdNewswire (English)</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7, 2019 Thursday 12:24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iCrowdNewswire, LLC All Rights Reserved</w:t>
      </w:r>
    </w:p>
    <w:p>
      <w:pPr>
        <w:keepNext w:val="0"/>
        <w:spacing w:before="120" w:after="0" w:line="220" w:lineRule="atLeast"/>
        <w:ind w:left="0" w:right="0" w:firstLine="0"/>
        <w:jc w:val="left"/>
      </w:pPr>
      <w:r>
        <w:br/>
      </w:r>
      <w:r>
        <w:pict>
          <v:shape id="_x0000_i1026" type="#_x0000_t75" style="width:172.5pt;height:26.2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473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China Biodiesel Market report 2022 begins from overview of Industry Chain structure, and describes industry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then analyses market size and forecast of Biodiesel by product and application, in addition, this report introduces market competition situation among the vendors and company profile, besides, market price analysis and value chain features are covered in this report The ... Continue reading China Biodiesel Market Analysis : Business Plan and Top Manufacturers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China Biodiesel Market report 2022 begins from overview of Industry Chain structure, and describes industry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i w:val="0"/>
          <w:strike w:val="0"/>
          <w:noProof w:val="0"/>
          <w:color w:val="000000"/>
          <w:position w:val="0"/>
          <w:sz w:val="20"/>
          <w:u w:val="none"/>
          <w:vertAlign w:val="baseline"/>
        </w:rPr>
        <w:t>, then analyses market size and forecast of Biodiesel by product and application, in addition, this report introduces market competition situation among the vendors and company profile, besides, market price analysis and value chain features are covered in this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Biodiesel market size will be XX million (USD) in 2022 in China, from the XX million (USD) in 2016, with a CAGR (Compound Annual Growth Rate) XX% from 2016 to 2022.</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In China market, the top players include many company</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Diester Industries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Neste Oil</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ADM</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Infinita Renovables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Biopetrol</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Cargill</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Ital Green Oil</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Glencore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Louis Dreyfus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Renewable Energy Group</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RBF Port Neches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Ag Processing</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Elevance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Marathon Petroleum Corporation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Evergreen Bio Fuels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Minnesota Soybean Processors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Caramuru</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Jinergy</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Hebei Jingu Group</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Longyan Zhuoyue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Greenergy UK</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Biodiesel Amsterdam</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SunOil</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Petrotec</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Biocom</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SARIA Bio-Industries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Biodiesel Aragon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Bionor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Iniciativas Bioenergeticas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Download Free Sample Report of China Biodiesel Market @ </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http://www.decisiondatabases.com/contact/download-sample-15875</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Table of Contents   Snapshot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1 Market Overview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 China BiodieselSales, Revenue (Value) and Market Share by Vendors/Manufacturers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 China BiodieselSales, Revenue (Value) by Type and Application (2012-2017)</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 China BiodieselVendors/Manufacturers Profiles and Sales Data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 Production Cost Analysis of Antivirus Software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 Value Chain, Purchasing Strategy and Downstream Buyers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 Marketing Strategy Analysis, Distributors/Traders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8 Market Influences Factors Analysis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 China BiodieselMarket Forecast (2017-2022)</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10 Research Findings and Conclusion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11 Appendix</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Tags: </w:t>
      </w:r>
      <w:hyperlink r:id="rId11" w:history="1">
        <w:r>
          <w:rPr>
            <w:rFonts w:ascii="times" w:eastAsia="times" w:hAnsi="times" w:cs="times"/>
            <w:b w:val="0"/>
            <w:i/>
            <w:strike w:val="0"/>
            <w:noProof w:val="0"/>
            <w:color w:val="0077CC"/>
            <w:position w:val="0"/>
            <w:sz w:val="20"/>
            <w:u w:val="single"/>
            <w:shd w:val="clear" w:color="auto" w:fill="FFFFFF"/>
            <w:vertAlign w:val="baseline"/>
          </w:rPr>
          <w:t>Biodiesel Industry Outlook</w:t>
        </w:r>
      </w:hyperlink>
      <w:r>
        <w:rPr>
          <w:rFonts w:ascii="times" w:eastAsia="times" w:hAnsi="times" w:cs="times"/>
          <w:b w:val="0"/>
          <w:i w:val="0"/>
          <w:strike w:val="0"/>
          <w:noProof w:val="0"/>
          <w:color w:val="000000"/>
          <w:position w:val="0"/>
          <w:sz w:val="20"/>
          <w:u w:val="none"/>
          <w:vertAlign w:val="baseline"/>
        </w:rPr>
        <w:t xml:space="preserve">,            </w:t>
      </w:r>
      <w:hyperlink r:id="rId12" w:history="1">
        <w:r>
          <w:rPr>
            <w:rFonts w:ascii="times" w:eastAsia="times" w:hAnsi="times" w:cs="times"/>
            <w:b w:val="0"/>
            <w:i/>
            <w:strike w:val="0"/>
            <w:noProof w:val="0"/>
            <w:color w:val="0077CC"/>
            <w:position w:val="0"/>
            <w:sz w:val="20"/>
            <w:u w:val="single"/>
            <w:shd w:val="clear" w:color="auto" w:fill="FFFFFF"/>
            <w:vertAlign w:val="baseline"/>
          </w:rPr>
          <w:t>Biodiesel Industry Sales</w:t>
        </w:r>
      </w:hyperlink>
      <w:r>
        <w:rPr>
          <w:rFonts w:ascii="times" w:eastAsia="times" w:hAnsi="times" w:cs="times"/>
          <w:b w:val="0"/>
          <w:i w:val="0"/>
          <w:strike w:val="0"/>
          <w:noProof w:val="0"/>
          <w:color w:val="000000"/>
          <w:position w:val="0"/>
          <w:sz w:val="20"/>
          <w:u w:val="none"/>
          <w:vertAlign w:val="baseline"/>
        </w:rPr>
        <w:t xml:space="preserve">,            </w:t>
      </w:r>
      <w:hyperlink r:id="rId13" w:history="1">
        <w:r>
          <w:rPr>
            <w:rFonts w:ascii="times" w:eastAsia="times" w:hAnsi="times" w:cs="times"/>
            <w:b w:val="0"/>
            <w:i/>
            <w:strike w:val="0"/>
            <w:noProof w:val="0"/>
            <w:color w:val="0077CC"/>
            <w:position w:val="0"/>
            <w:sz w:val="20"/>
            <w:u w:val="single"/>
            <w:shd w:val="clear" w:color="auto" w:fill="FFFFFF"/>
            <w:vertAlign w:val="baseline"/>
          </w:rPr>
          <w:t>Biodiesel Market Forecast</w:t>
        </w:r>
      </w:hyperlink>
      <w:r>
        <w:rPr>
          <w:rFonts w:ascii="times" w:eastAsia="times" w:hAnsi="times" w:cs="times"/>
          <w:b w:val="0"/>
          <w:i w:val="0"/>
          <w:strike w:val="0"/>
          <w:noProof w:val="0"/>
          <w:color w:val="000000"/>
          <w:position w:val="0"/>
          <w:sz w:val="20"/>
          <w:u w:val="none"/>
          <w:vertAlign w:val="baseline"/>
        </w:rPr>
        <w:t xml:space="preserve">,            </w:t>
      </w:r>
      <w:hyperlink r:id="rId14" w:history="1">
        <w:r>
          <w:rPr>
            <w:rFonts w:ascii="times" w:eastAsia="times" w:hAnsi="times" w:cs="times"/>
            <w:b w:val="0"/>
            <w:i/>
            <w:strike w:val="0"/>
            <w:noProof w:val="0"/>
            <w:color w:val="0077CC"/>
            <w:position w:val="0"/>
            <w:sz w:val="20"/>
            <w:u w:val="single"/>
            <w:shd w:val="clear" w:color="auto" w:fill="FFFFFF"/>
            <w:vertAlign w:val="baseline"/>
          </w:rPr>
          <w:t>Biodiesel Market Share</w:t>
        </w:r>
      </w:hyperlink>
      <w:r>
        <w:rPr>
          <w:rFonts w:ascii="times" w:eastAsia="times" w:hAnsi="times" w:cs="times"/>
          <w:b w:val="0"/>
          <w:i w:val="0"/>
          <w:strike w:val="0"/>
          <w:noProof w:val="0"/>
          <w:color w:val="000000"/>
          <w:position w:val="0"/>
          <w:sz w:val="20"/>
          <w:u w:val="none"/>
          <w:vertAlign w:val="baseline"/>
        </w:rPr>
        <w:t xml:space="preserve">,            </w:t>
      </w:r>
      <w:hyperlink r:id="rId15" w:history="1">
        <w:r>
          <w:rPr>
            <w:rFonts w:ascii="times" w:eastAsia="times" w:hAnsi="times" w:cs="times"/>
            <w:b w:val="0"/>
            <w:i/>
            <w:strike w:val="0"/>
            <w:noProof w:val="0"/>
            <w:color w:val="0077CC"/>
            <w:position w:val="0"/>
            <w:sz w:val="20"/>
            <w:u w:val="single"/>
            <w:shd w:val="clear" w:color="auto" w:fill="FFFFFF"/>
            <w:vertAlign w:val="baseline"/>
          </w:rPr>
          <w:t>Biodiesel market size</w:t>
        </w:r>
      </w:hyperlink>
      <w:r>
        <w:rPr>
          <w:rFonts w:ascii="times" w:eastAsia="times" w:hAnsi="times" w:cs="times"/>
          <w:b w:val="0"/>
          <w:i w:val="0"/>
          <w:strike w:val="0"/>
          <w:noProof w:val="0"/>
          <w:color w:val="000000"/>
          <w:position w:val="0"/>
          <w:sz w:val="20"/>
          <w:u w:val="none"/>
          <w:vertAlign w:val="baseline"/>
        </w:rPr>
        <w:t xml:space="preserve">,            </w:t>
      </w:r>
      <w:hyperlink r:id="rId16" w:history="1">
        <w:r>
          <w:rPr>
            <w:rFonts w:ascii="times" w:eastAsia="times" w:hAnsi="times" w:cs="times"/>
            <w:b w:val="0"/>
            <w:i/>
            <w:strike w:val="0"/>
            <w:noProof w:val="0"/>
            <w:color w:val="0077CC"/>
            <w:position w:val="0"/>
            <w:sz w:val="20"/>
            <w:u w:val="single"/>
            <w:shd w:val="clear" w:color="auto" w:fill="FFFFFF"/>
            <w:vertAlign w:val="baseline"/>
          </w:rPr>
          <w:t>BIODIESEL MARKET TRENDS</w:t>
        </w:r>
      </w:hyperlink>
      <w:r>
        <w:rPr>
          <w:rFonts w:ascii="times" w:eastAsia="times" w:hAnsi="times" w:cs="times"/>
          <w:b w:val="0"/>
          <w:i w:val="0"/>
          <w:strike w:val="0"/>
          <w:noProof w:val="0"/>
          <w:color w:val="000000"/>
          <w:position w:val="0"/>
          <w:sz w:val="20"/>
          <w:u w:val="none"/>
          <w:vertAlign w:val="baseline"/>
        </w:rPr>
        <w:t xml:space="preserve">,            </w:t>
      </w:r>
      <w:hyperlink r:id="rId17" w:history="1">
        <w:r>
          <w:rPr>
            <w:rFonts w:ascii="times" w:eastAsia="times" w:hAnsi="times" w:cs="times"/>
            <w:b w:val="0"/>
            <w:i/>
            <w:strike w:val="0"/>
            <w:noProof w:val="0"/>
            <w:color w:val="0077CC"/>
            <w:position w:val="0"/>
            <w:sz w:val="20"/>
            <w:u w:val="single"/>
            <w:shd w:val="clear" w:color="auto" w:fill="FFFFFF"/>
            <w:vertAlign w:val="baseline"/>
          </w:rPr>
          <w:t>China Biodiesel Market Report</w:t>
        </w:r>
      </w:hyperlink>
      <w:r>
        <w:rPr>
          <w:rFonts w:ascii="times" w:eastAsia="times" w:hAnsi="times" w:cs="times"/>
          <w:b/>
          <w:i w:val="0"/>
          <w:strike w:val="0"/>
          <w:noProof w:val="0"/>
          <w:color w:val="000000"/>
          <w:position w:val="0"/>
          <w:sz w:val="20"/>
          <w:u w:val="none"/>
          <w:vertAlign w:val="baseline"/>
        </w:rPr>
        <w:t>See Campaign:</w:t>
      </w:r>
      <w:r>
        <w:rPr>
          <w:rFonts w:ascii="times" w:eastAsia="times" w:hAnsi="times" w:cs="times"/>
          <w:b w:val="0"/>
          <w:i w:val="0"/>
          <w:strike w:val="0"/>
          <w:noProof w:val="0"/>
          <w:color w:val="000000"/>
          <w:position w:val="0"/>
          <w:sz w:val="20"/>
          <w:u w:val="none"/>
          <w:vertAlign w:val="baseline"/>
        </w:rPr>
        <w:t xml:space="preserve">           </w:t>
      </w:r>
      <w:hyperlink r:id="rId18" w:history="1">
        <w:r>
          <w:rPr>
            <w:rFonts w:ascii="times" w:eastAsia="times" w:hAnsi="times" w:cs="times"/>
            <w:b w:val="0"/>
            <w:i/>
            <w:strike w:val="0"/>
            <w:noProof w:val="0"/>
            <w:color w:val="0077CC"/>
            <w:position w:val="0"/>
            <w:sz w:val="20"/>
            <w:u w:val="single"/>
            <w:shd w:val="clear" w:color="auto" w:fill="FFFFFF"/>
            <w:vertAlign w:val="baseline"/>
          </w:rPr>
          <w:t>http://www.decisiondatabases.com/ip/15875-china-biodiesel-market-analysis-report</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Contact Information: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DecisionDatabases.comE-Mail: </w:t>
      </w:r>
      <w:hyperlink r:id="rId19" w:history="1">
        <w:r>
          <w:rPr>
            <w:rFonts w:ascii="times" w:eastAsia="times" w:hAnsi="times" w:cs="times"/>
            <w:b w:val="0"/>
            <w:i/>
            <w:strike w:val="0"/>
            <w:noProof w:val="0"/>
            <w:color w:val="0077CC"/>
            <w:position w:val="0"/>
            <w:sz w:val="20"/>
            <w:u w:val="single"/>
            <w:shd w:val="clear" w:color="auto" w:fill="FFFFFF"/>
            <w:vertAlign w:val="baseline"/>
          </w:rPr>
          <w:t>sales@decisiondatabases.comPhone</w:t>
        </w:r>
      </w:hyperlink>
      <w:r>
        <w:rPr>
          <w:rFonts w:ascii="times" w:eastAsia="times" w:hAnsi="times" w:cs="times"/>
          <w:b w:val="0"/>
          <w:i w:val="0"/>
          <w:strike w:val="0"/>
          <w:noProof w:val="0"/>
          <w:color w:val="000000"/>
          <w:position w:val="0"/>
          <w:sz w:val="20"/>
          <w:u w:val="none"/>
          <w:vertAlign w:val="baseline"/>
        </w:rPr>
        <w:t xml:space="preserve">: +91-9028057900Website:            </w:t>
      </w:r>
      <w:hyperlink r:id="rId20" w:history="1">
        <w:r>
          <w:rPr>
            <w:rFonts w:ascii="times" w:eastAsia="times" w:hAnsi="times" w:cs="times"/>
            <w:b w:val="0"/>
            <w:i/>
            <w:strike w:val="0"/>
            <w:noProof w:val="0"/>
            <w:color w:val="0077CC"/>
            <w:position w:val="0"/>
            <w:sz w:val="20"/>
            <w:u w:val="single"/>
            <w:shd w:val="clear" w:color="auto" w:fill="FFFFFF"/>
            <w:vertAlign w:val="baseline"/>
          </w:rPr>
          <w:t>www.decisiondatabases.com</w:t>
        </w:r>
      </w:hyperlink>
      <w:r>
        <w:rPr>
          <w:rFonts w:ascii="times" w:eastAsia="times" w:hAnsi="times" w:cs="times"/>
          <w:b w:val="0"/>
          <w:i w:val="0"/>
          <w:strike w:val="0"/>
          <w:noProof w:val="0"/>
          <w:color w:val="000000"/>
          <w:position w:val="0"/>
          <w:sz w:val="20"/>
          <w:u w:val="none"/>
          <w:vertAlign w:val="baseline"/>
        </w:rPr>
        <w:t>/</w:t>
      </w:r>
    </w:p>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Tags: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hyperlink r:id="rId21" w:history="1">
        <w:r>
          <w:rPr>
            <w:rFonts w:ascii="times" w:eastAsia="times" w:hAnsi="times" w:cs="times"/>
            <w:b w:val="0"/>
            <w:i/>
            <w:strike w:val="0"/>
            <w:noProof w:val="0"/>
            <w:color w:val="0077CC"/>
            <w:position w:val="0"/>
            <w:sz w:val="20"/>
            <w:u w:val="single"/>
            <w:shd w:val="clear" w:color="auto" w:fill="FFFFFF"/>
            <w:vertAlign w:val="baseline"/>
          </w:rPr>
          <w:t>Wire</w:t>
        </w:r>
      </w:hyperlink>
      <w:r>
        <w:rPr>
          <w:rFonts w:ascii="times" w:eastAsia="times" w:hAnsi="times" w:cs="times"/>
          <w:b w:val="0"/>
          <w:i w:val="0"/>
          <w:strike w:val="0"/>
          <w:noProof w:val="0"/>
          <w:color w:val="000000"/>
          <w:position w:val="0"/>
          <w:sz w:val="20"/>
          <w:u w:val="none"/>
          <w:vertAlign w:val="baseline"/>
        </w:rPr>
        <w:t xml:space="preserve">,            </w:t>
      </w:r>
      <w:hyperlink r:id="rId22" w:history="1">
        <w:r>
          <w:rPr>
            <w:rFonts w:ascii="times" w:eastAsia="times" w:hAnsi="times" w:cs="times"/>
            <w:b w:val="0"/>
            <w:i/>
            <w:strike w:val="0"/>
            <w:noProof w:val="0"/>
            <w:color w:val="0077CC"/>
            <w:position w:val="0"/>
            <w:sz w:val="20"/>
            <w:u w:val="single"/>
            <w:shd w:val="clear" w:color="auto" w:fill="FFFFFF"/>
            <w:vertAlign w:val="baseline"/>
          </w:rPr>
          <w:t>Research Newswire</w:t>
        </w:r>
      </w:hyperlink>
      <w:r>
        <w:rPr>
          <w:rFonts w:ascii="times" w:eastAsia="times" w:hAnsi="times" w:cs="times"/>
          <w:b w:val="0"/>
          <w:i w:val="0"/>
          <w:strike w:val="0"/>
          <w:noProof w:val="0"/>
          <w:color w:val="000000"/>
          <w:position w:val="0"/>
          <w:sz w:val="20"/>
          <w:u w:val="none"/>
          <w:vertAlign w:val="baseline"/>
        </w:rPr>
        <w:t xml:space="preserve">,            </w:t>
      </w:r>
      <w:hyperlink r:id="rId23" w:history="1">
        <w:r>
          <w:rPr>
            <w:rFonts w:ascii="times" w:eastAsia="times" w:hAnsi="times" w:cs="times"/>
            <w:b w:val="0"/>
            <w:i/>
            <w:strike w:val="0"/>
            <w:noProof w:val="0"/>
            <w:color w:val="0077CC"/>
            <w:position w:val="0"/>
            <w:sz w:val="20"/>
            <w:u w:val="single"/>
            <w:shd w:val="clear" w:color="auto" w:fill="FFFFFF"/>
            <w:vertAlign w:val="baseline"/>
          </w:rPr>
          <w:t>Press Release</w:t>
        </w:r>
      </w:hyperlink>
      <w:r>
        <w:rPr>
          <w:rFonts w:ascii="times" w:eastAsia="times" w:hAnsi="times" w:cs="times"/>
          <w:b w:val="0"/>
          <w:i w:val="0"/>
          <w:strike w:val="0"/>
          <w:noProof w:val="0"/>
          <w:color w:val="000000"/>
          <w:position w:val="0"/>
          <w:sz w:val="20"/>
          <w:u w:val="none"/>
          <w:vertAlign w:val="baseline"/>
        </w:rPr>
        <w:t xml:space="preserve">,            </w:t>
      </w:r>
      <w:hyperlink r:id="rId24" w:history="1">
        <w:r>
          <w:rPr>
            <w:rFonts w:ascii="times" w:eastAsia="times" w:hAnsi="times" w:cs="times"/>
            <w:b w:val="0"/>
            <w:i/>
            <w:strike w:val="0"/>
            <w:noProof w:val="0"/>
            <w:color w:val="0077CC"/>
            <w:position w:val="0"/>
            <w:sz w:val="20"/>
            <w:u w:val="single"/>
            <w:shd w:val="clear" w:color="auto" w:fill="FFFFFF"/>
            <w:vertAlign w:val="baseline"/>
          </w:rPr>
          <w:t>United States</w:t>
        </w:r>
      </w:hyperlink>
      <w:r>
        <w:rPr>
          <w:rFonts w:ascii="times" w:eastAsia="times" w:hAnsi="times" w:cs="times"/>
          <w:b w:val="0"/>
          <w:i w:val="0"/>
          <w:strike w:val="0"/>
          <w:noProof w:val="0"/>
          <w:color w:val="000000"/>
          <w:position w:val="0"/>
          <w:sz w:val="20"/>
          <w:u w:val="none"/>
          <w:vertAlign w:val="baseline"/>
        </w:rPr>
        <w:t xml:space="preserve">,            </w:t>
      </w:r>
      <w:hyperlink r:id="rId25" w:history="1">
        <w:r>
          <w:rPr>
            <w:rFonts w:ascii="times" w:eastAsia="times" w:hAnsi="times" w:cs="times"/>
            <w:b w:val="0"/>
            <w:i/>
            <w:strike w:val="0"/>
            <w:noProof w:val="0"/>
            <w:color w:val="0077CC"/>
            <w:position w:val="0"/>
            <w:sz w:val="20"/>
            <w:u w:val="single"/>
            <w:shd w:val="clear" w:color="auto" w:fill="FFFFFF"/>
            <w:vertAlign w:val="baseline"/>
          </w:rPr>
          <w:t>Latin America</w:t>
        </w:r>
      </w:hyperlink>
      <w:r>
        <w:rPr>
          <w:rFonts w:ascii="times" w:eastAsia="times" w:hAnsi="times" w:cs="times"/>
          <w:b w:val="0"/>
          <w:i w:val="0"/>
          <w:strike w:val="0"/>
          <w:noProof w:val="0"/>
          <w:color w:val="000000"/>
          <w:position w:val="0"/>
          <w:sz w:val="20"/>
          <w:u w:val="none"/>
          <w:vertAlign w:val="baseline"/>
        </w:rPr>
        <w:t xml:space="preserve">,            </w:t>
      </w:r>
      <w:hyperlink r:id="rId26" w:history="1">
        <w:r>
          <w:rPr>
            <w:rFonts w:ascii="times" w:eastAsia="times" w:hAnsi="times" w:cs="times"/>
            <w:b w:val="0"/>
            <w:i/>
            <w:strike w:val="0"/>
            <w:noProof w:val="0"/>
            <w:color w:val="0077CC"/>
            <w:position w:val="0"/>
            <w:sz w:val="20"/>
            <w:u w:val="single"/>
            <w:shd w:val="clear" w:color="auto" w:fill="FFFFFF"/>
            <w:vertAlign w:val="baseline"/>
          </w:rPr>
          <w:t>United Kingdom</w:t>
        </w:r>
      </w:hyperlink>
      <w:r>
        <w:rPr>
          <w:rFonts w:ascii="times" w:eastAsia="times" w:hAnsi="times" w:cs="times"/>
          <w:b w:val="0"/>
          <w:i w:val="0"/>
          <w:strike w:val="0"/>
          <w:noProof w:val="0"/>
          <w:color w:val="000000"/>
          <w:position w:val="0"/>
          <w:sz w:val="20"/>
          <w:u w:val="none"/>
          <w:vertAlign w:val="baseline"/>
        </w:rPr>
        <w:t xml:space="preserve">,            </w:t>
      </w:r>
      <w:hyperlink r:id="rId27" w:history="1">
        <w:r>
          <w:rPr>
            <w:rFonts w:ascii="times" w:eastAsia="times" w:hAnsi="times" w:cs="times"/>
            <w:b w:val="0"/>
            <w:i/>
            <w:strike w:val="0"/>
            <w:noProof w:val="0"/>
            <w:color w:val="0077CC"/>
            <w:position w:val="0"/>
            <w:sz w:val="20"/>
            <w:u w:val="single"/>
            <w:shd w:val="clear" w:color="auto" w:fill="FFFFFF"/>
            <w:vertAlign w:val="baseline"/>
          </w:rPr>
          <w:t>Europe</w:t>
        </w:r>
      </w:hyperlink>
      <w:r>
        <w:rPr>
          <w:rFonts w:ascii="times" w:eastAsia="times" w:hAnsi="times" w:cs="times"/>
          <w:b w:val="0"/>
          <w:i w:val="0"/>
          <w:strike w:val="0"/>
          <w:noProof w:val="0"/>
          <w:color w:val="000000"/>
          <w:position w:val="0"/>
          <w:sz w:val="20"/>
          <w:u w:val="none"/>
          <w:vertAlign w:val="baseline"/>
        </w:rPr>
        <w:t xml:space="preserve">,            </w:t>
      </w:r>
      <w:hyperlink r:id="rId28" w:history="1">
        <w:r>
          <w:rPr>
            <w:rFonts w:ascii="times" w:eastAsia="times" w:hAnsi="times" w:cs="times"/>
            <w:b w:val="0"/>
            <w:i/>
            <w:strike w:val="0"/>
            <w:noProof w:val="0"/>
            <w:color w:val="0077CC"/>
            <w:position w:val="0"/>
            <w:sz w:val="20"/>
            <w:u w:val="single"/>
            <w:shd w:val="clear" w:color="auto" w:fill="FFFFFF"/>
            <w:vertAlign w:val="baseline"/>
          </w:rPr>
          <w:t>English</w:t>
        </w:r>
      </w:hyperlink>
    </w:p>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7,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China Biodiesel Market Analysis : Business Plan and Top Manufacturers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decisiondatabases.com/contact/download-sample-15875" TargetMode="External" /><Relationship Id="rId11" Type="http://schemas.openxmlformats.org/officeDocument/2006/relationships/hyperlink" Target="http://icrowdnewswire.com/tag/biodiesel-industry-outlook/" TargetMode="External" /><Relationship Id="rId12" Type="http://schemas.openxmlformats.org/officeDocument/2006/relationships/hyperlink" Target="http://icrowdnewswire.com/tag/biodiesel-industry-sales/" TargetMode="External" /><Relationship Id="rId13" Type="http://schemas.openxmlformats.org/officeDocument/2006/relationships/hyperlink" Target="http://icrowdnewswire.com/tag/biodiesel-market-forecast/" TargetMode="External" /><Relationship Id="rId14" Type="http://schemas.openxmlformats.org/officeDocument/2006/relationships/hyperlink" Target="http://icrowdnewswire.com/tag/biodiesel-market-share/" TargetMode="External" /><Relationship Id="rId15" Type="http://schemas.openxmlformats.org/officeDocument/2006/relationships/hyperlink" Target="http://icrowdnewswire.com/tag/biodiesel-market-size/" TargetMode="External" /><Relationship Id="rId16" Type="http://schemas.openxmlformats.org/officeDocument/2006/relationships/hyperlink" Target="http://icrowdnewswire.com/tag/biodiesel-market-trends/" TargetMode="External" /><Relationship Id="rId17" Type="http://schemas.openxmlformats.org/officeDocument/2006/relationships/hyperlink" Target="http://icrowdnewswire.com/tag/china-biodiesel-market-report/" TargetMode="External" /><Relationship Id="rId18" Type="http://schemas.openxmlformats.org/officeDocument/2006/relationships/hyperlink" Target="http://www.decisiondatabases.com/ip/15875-china-biodiesel-market-analysis-report" TargetMode="External" /><Relationship Id="rId19" Type="http://schemas.openxmlformats.org/officeDocument/2006/relationships/hyperlink" Target="mailto:sales@decisiondatabases.comPhone" TargetMode="External" /><Relationship Id="rId2" Type="http://schemas.openxmlformats.org/officeDocument/2006/relationships/webSettings" Target="webSettings.xml" /><Relationship Id="rId20" Type="http://schemas.openxmlformats.org/officeDocument/2006/relationships/hyperlink" Target="http://www.decisiondatabases.com" TargetMode="External" /><Relationship Id="rId21" Type="http://schemas.openxmlformats.org/officeDocument/2006/relationships/hyperlink" Target="http://icrowdnewswire.com/category/news-category/wire/" TargetMode="External" /><Relationship Id="rId22" Type="http://schemas.openxmlformats.org/officeDocument/2006/relationships/hyperlink" Target="http://icrowdnewswire.com/category/news-category/research-newswire/" TargetMode="External" /><Relationship Id="rId23" Type="http://schemas.openxmlformats.org/officeDocument/2006/relationships/hyperlink" Target="http://icrowdnewswire.com/category/news-category/press-release/" TargetMode="External" /><Relationship Id="rId24" Type="http://schemas.openxmlformats.org/officeDocument/2006/relationships/hyperlink" Target="http://icrowdnewswire.com/category/global-regions/united-states/" TargetMode="External" /><Relationship Id="rId25" Type="http://schemas.openxmlformats.org/officeDocument/2006/relationships/hyperlink" Target="http://icrowdnewswire.com/category/global-regions/latin-america/" TargetMode="External" /><Relationship Id="rId26" Type="http://schemas.openxmlformats.org/officeDocument/2006/relationships/hyperlink" Target="http://icrowdnewswire.com/category/global-regions/united-kingdom/" TargetMode="External" /><Relationship Id="rId27" Type="http://schemas.openxmlformats.org/officeDocument/2006/relationships/hyperlink" Target="http://icrowdnewswire.com/category/global-regions/europe/" TargetMode="External" /><Relationship Id="rId28" Type="http://schemas.openxmlformats.org/officeDocument/2006/relationships/hyperlink" Target="http://icrowdnewswire.com/category/language/english/"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CB-RTD1-JCTB-F05N-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Industry Support for Large-Scale Carbon Capture and Storage Continues to Gain Momentum in Houston; - Air Liquide, BASF and Shell the latest to join group of companies committed to advancing large-scale carbon capture and storage in Houston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