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American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Portfolio Composition as of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665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has issued the following press release: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 CBA) announces its portfolio composition as of June 30, 2018.  Investment Objective: The Fund seeks to provide a high level of total return, with an equal emphasis on current distributions and capital appreciation.  Investment Strategy: The Fund seeks to achieve its objective by investing primarily in US-based master limited partnerships (“MLPs”)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Initially, the Fund intends to focus its investments on MLPs that, in the Fund’s opinion, are poised to benefit from the growing production and usage of natural gas, while minimizing exposure to commodity price fluctuations.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entities are engaged in the business of exploring, developing, producing, gathering, transporting, processing, storing, refining, distributing, mining or marketing natural gas, natural gas liquids (including propane), crude oil, refined petroleum products or coal.             Portfolio Composition:*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39.2%  Liquids Transportation &amp; Storage           22.9%  Gathering/Processing           21.4%  Natural Gas Transportation &amp; Storage           10.5%  Propane           3.2%  Refining           1.5%  Shipping           0.7%  Cash           0.5%    Top 10 Holdings          Enterprise Products Partners LP         9.4%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6.4%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5.4% Oneok Partners LP MLP NPV         4.9% EnLink Midstream Partners LP         4.8% Genesis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4.6% Magellan Midstream Partners LP         4.5% Targa Resources Corp.         4.0% Williams Partners LP         3.5% Plains All American Pipeline LP         3.4%       Portfolio Statistics:           Inception Date         June 26, 2013  Inception Price         $20.00  Total Assets         $709,347,196  Net Assets**         $473,347,196  Loans***         7.89%  Fixed Rate Notes***         21.85%  Reverse Repos***         0.0%  Preferred Shares***         3.52%    Market Price:         $7.55  NAV         $8.08 (Daily NAV is available on market quotation systems using the symbol XCBAX.)    Distribution Rate         $0.2000 per share  Frequency         Quarterly (declared quarterly, paid quarterly) *           Portfolio holdings and weightings are historical and are presented here for informational purposes only. They are subject to change at any time. **         The difference between total assets and net assets, if any, is due primarily to the Fund’s use of borrowings and other liabilities; net assets do not include borrowings. The Fund may employ leverage in the form of loans, preferred stock, reverse repurchase agreements and/or other instruments. When the Fund engages in transactions that have a leveraging effect on the Fund’s portfolio, the value of the Fund will be more volatile and all other risks will tend to be compounded. ***         Percentages are based on total assets.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An investment in the Fund involves risk, including loss of principal. The Fund's concentration of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related MLPs subject it to the risks of investing in MLPs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Investment return and the value of shares will fluctuate.  Data and commentary provided in this press release are for informational purposes only. Legg Mason and its affiliates do not engage in selling shares of the Fund.  For more information, please call Fund Investor Services at 1-888-777-0102, or consult the Fund’s web site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American Energy MLP Fund Inc. Portfolio Composition as of June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lmcef.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Y8-V3K1-J9XT-P2HP-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Appoints Vice President, Emerging Energy and Process Optimization; Forms Emerging Energy Team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