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ClearBridge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MLP Fund Inc. Announces Unaudited Balance Sheet Information as of September 30, 2018</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6, 2018 Saturday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646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NEW YORK: ClearBridge American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MLP Fund Inc. has issued the following press release:  ClearBridge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MLP Fund Inc. (NYSE:CEM) announced today the unaudited statement of assets and liabilities, the net asset value and asset coverage ratio of the Fund as of September 30, 2018.  As of September 30, 2018, the Fund’s net assets were $1,076.1 million, and its net asset value per share was $15.28. The Fund’s asset coverage ratio under the Investment Company Act of 1940 (the “1940 Act”) with respect to senior indebtedness was 355% and the Fund’s asset coverage ratio under the 1940 Act with respect to total leverage was 316%.                      As of September 30, 2018                                                                 Amount (millions)                 Per Share                                                       Investments         $        1,703.5                          $    24.19                    Cash and Cash Equivalents              7.3                   0.10                    Other Assets              7.3                   0.10                    Total Assets         $    1,718.1              $    24.39                                                        Senior Notes*         $    370.0              $    5.25                    Loans Outstanding*              73.0                   1.04                    Mandatory Redeemable Preferred Shares*              55.0                   0.78                    Total Leverage         $    498.0              $    7.07                                                        Deferred Tax Liability         $    138.1              $    1.96                    Other Liabilities              5.9                   0.08                    Total Liabilities         $    144.0              $    2.04                                                        Net Assets         $    1,076.1              $    15.28                                                        Outstanding Shares              70,414,962                                                                  * The Fund's asset coverage ratio under the 1940 Act with respect to senior indebtedness was 355%.               * The Fund's asset coverage ratio under the 1940 Act with respect to total leverage was 316%.                                                   Top Ten Holdings (as of September 30, 2018)**                                             Market Value                         Name         (millions)         % of Investments        ***              Enterprise Products Partners LP         $    176.0                   10.3    %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Transfer Partners LP         $    143.3                   8.4    %               ONEOK, Inc.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    123.7                   7.2    %               Williams Cos Inc.         $    94.1                   5.5    %               Magellan Midstream Partners LP         $    88.5                   5.2    %               EnLink Midstream Partners LP         $    85.6                   5.0    %               Genesis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LP         $    82.7                   4.8    %               Targa Resources Corp.         $    76.7                   4.5    %               Plains All American Pipeline LP         $    61.8                   3.6    %               Enbridge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Partners LP         $    57.9                   3.4    %                         $    990.3                   57.9    %                               **Subject to change at any time                   ***Percent of Total Investments                                 ClearBridge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MLP Fund Inc. is a non-diversified, closed-end management investment company which is advised by Legg Mason Partners Fund Advisor, LLC (“LMPFA”) and subadvised by ClearBridge Investments, LLC (“ClearBridge”). LMPFA and ClearBridge are wholly owned subsidiaries of Legg Mason, Inc. (“Legg Mason”).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6,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ClearBridge Energy MLP Fund Inc. Announces Unaudited Balance Sheet Information as of September 30, 2018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TDX-WPV1-J9XT-P204-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