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ClearBridge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Midstream Opportunity Fund Inc. Announces Unaudited Balance Sheet Information as of June 30, 2021</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8, 2021 Thursday 12:00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499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Midstream Opportunity Fund Inc. (NYSE: EMO) announced today the unaudited statement of assets and liabilities, the net asset value and asset coverage ratio of the Fund as of June 30,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June 30, 2021, the Fund's net assets were $381.9 million, and its net asset value per share was $28.70. The Fund's asset coverage ratio under the Investment Company Act of 1940 (the "1940 Act") with respect to senior indebtedness was 479% and the Fund's asset coverage ratio under the 1940 Act with respect to total leverage was 346%.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000"/>
        <w:gridCol w:w="236"/>
        <w:gridCol w:w="1200"/>
        <w:gridCol w:w="236"/>
        <w:gridCol w:w="236"/>
        <w:gridCol w:w="600"/>
        <w:gridCol w:w="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216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 of June 30, 2021</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 (millions)</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 Share</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39.40</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0.56</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0.52</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40.48</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Senior Notes*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3.40</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Loans Outstanding*</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5.03</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Mandatory Redeemable Preferred Shares*</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3.24</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11.67</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0.11</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0.11</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28.70</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Outstanding Shares</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13,307,118</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The Fund's asset coverage ratio under the 1940 Act with respect to senior indebtedness was 479%.</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The Fund's asset coverage ratio under the 1940 Act with respect to total leverage was 346%.</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Top Ten Equity Holdings (as of June 30, 2021)**</w:t>
            </w: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 Value</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Name</w:t>
            </w:r>
          </w:p>
        </w:tc>
        <w:tc>
          <w:tcPr>
            <w:tcW w:w="13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of Investments</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MPLX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Enterprise Products Partners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Targa Resources Corp.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Western Midstream Partners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DCP Midstream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Williams Cos. Inc.</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Magellan Midstream Partners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Enbridge Inc.</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Plains All American Pipeline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299.7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57.2%</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Subject to change at any time</w:t>
            </w: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Percent of Total Equity Investments</w:t>
            </w:r>
          </w:p>
        </w:tc>
        <w:tc>
          <w:tcPr>
            <w:tcW w:w="1320" w:type="dxa"/>
            <w:gridSpan w:val="2"/>
            <w:tcMar>
              <w:top w:w="20" w:type="dxa"/>
              <w:bottom w:w="20" w:type="dxa"/>
            </w:tcMar>
            <w:vAlign w:val="top"/>
          </w:tcPr>
          <w:p/>
        </w:tc>
        <w:tc>
          <w:tcPr>
            <w:tcW w:w="120" w:type="dxa"/>
            <w:tcBorders>
              <w:right w:val="nil"/>
            </w:tcBorders>
            <w:tcMar>
              <w:top w:w="20" w:type="dxa"/>
              <w:bottom w:w="20" w:type="dxa"/>
            </w:tcMar>
            <w:vAlign w:val="top"/>
          </w:tcPr>
          <w:p/>
        </w:tc>
        <w:tc>
          <w:tcPr>
            <w:tcW w:w="720" w:type="dxa"/>
            <w:gridSpan w:val="2"/>
            <w:tcMar>
              <w:top w:w="20" w:type="dxa"/>
              <w:bottom w:w="20" w:type="dxa"/>
            </w:tcMar>
            <w:vAlign w:val="top"/>
          </w:tcPr>
          <w:p/>
        </w:tc>
        <w:tc>
          <w:tcPr>
            <w:tcW w:w="60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Midstream Opportunity Fund Inc. is a non-diversified, closed-end management investment company, which is advised by Legg Mason Partners Fund Advisor, LLC ("LMPFA") and subadvised by ClearBridge Investments, LLC ("ClearBridge"). LMPFA and ClearBridge are indirect, wholly-owned subsidiaries of Franklin Resources, Inc. ("Franklin Resources").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financial data is unaudited.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Fund files its semi-annual and annual reports with the Securities and Exchange Commission ("SEC"), as well as its complete schedule of portfolio holdings for the first and third quarters of each fiscal year as an exhibit to its reports on Form N-PORT. These reports are available on the SEC's website at </w:t>
      </w:r>
      <w:hyperlink r:id="rId9"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 To obtain information on Form N-PORT or a semi-annual or annual report from the Fund, shareholders can call 1-888-777-0102.</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the Fund, please call 1-888-777-0102 or consult the Fund's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www.lmcef.com</w:t>
        </w:r>
      </w:hyperlink>
      <w:r>
        <w:rPr>
          <w:rFonts w:ascii="times" w:eastAsia="times" w:hAnsi="times" w:cs="times"/>
          <w:b w:val="0"/>
          <w:i w:val="0"/>
          <w:strike w:val="0"/>
          <w:noProof w:val="0"/>
          <w:color w:val="000000"/>
          <w:position w:val="0"/>
          <w:sz w:val="20"/>
          <w:u w:val="none"/>
          <w:vertAlign w:val="baseline"/>
        </w:rPr>
        <w:t xml:space="preserve"> . Hard copies of the Fund's complete audited financial statements are available free of charge upon request.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Data and commentary provided in this press release are for informational purposes only. Franklin Resources and its affiliates do not engage in selling shares of the Fund.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Category: Financials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Franklin Resources, Inc.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Legg Mason Closed End Funds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1"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https://www.businesswire.com/news/home/20210708005378/en/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Investor Contact: Fund Investor Services 1-888-777-0102</w:t>
      </w:r>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8,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ClearBridge Energy Midstream Opportunity Fund Inc. Announces Unaudited Balance Sheet Information as of June 30, 2021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lmcef.com&amp;esheet=52456933&amp;newsitemid=20210708005378&amp;lan=en-US&amp;anchor=www.lmcef.com&amp;index=2&amp;md5=491bae44bbe0448f8bb5fccefa2c924e" TargetMode="External" /><Relationship Id="rId11" Type="http://schemas.openxmlformats.org/officeDocument/2006/relationships/hyperlink" Target="https://www.businesswire.com/news/home/20210708005378/en/"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3D-WKC1-JBG1-80N0-00000-00&amp;context=1516831" TargetMode="External" /><Relationship Id="rId9" Type="http://schemas.openxmlformats.org/officeDocument/2006/relationships/hyperlink" Target="https://cts.businesswire.com/ct/CT?id=smartlink&amp;url=http%3A%2F%2Fwww.sec.gov&amp;esheet=52456933&amp;newsitemid=20210708005378&amp;lan=en-US&amp;anchor=www.sec.gov&amp;index=1&amp;md5=19f64b4dc8ca606ff3e814d5ae81abe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ClearBridge Energy Midstream Opportunity Fund Inc. Announces Unaudited Balance Sheet Information as of June 30, 2021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