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Daily Pipelines Sector Sector Newsletter Friday December 16,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Global Round Up - Sectors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Jupiter International (Australia) Pty Ltd. All Rights Reserved</w:t>
      </w:r>
    </w:p>
    <w:p>
      <w:pPr>
        <w:keepNext w:val="0"/>
        <w:spacing w:before="120" w:after="0" w:line="220" w:lineRule="atLeast"/>
        <w:ind w:left="0" w:right="0" w:firstLine="0"/>
        <w:jc w:val="left"/>
      </w:pPr>
      <w:r>
        <w:br/>
      </w:r>
      <w:r>
        <w:pict>
          <v:shape id="_x0000_i1026" type="#_x0000_t75" style="width:110.24pt;height:30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DAILY SECTOR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Amongst the 0 Stocks traded in the Pipelines Sector today, 14 (100%) were untraded.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TRADING SNAPSHOT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Stocks</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Untraded</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ANNOUNCEMENTS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Dividend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480"/>
        <w:gridCol w:w="61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Country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today announced a quarterly dividend of 41.41c per share for Q4/2022; unchanged from the previous quarter (Q3/2022) dividend of 41.41c. The ex-dividend date is Friday, January 06, 2023 and the record date is Monday, January 09, 2023 and it is payable on Friday, January 27, 2023. Total dividends per share paid in the 12 months ended December 12 were $1.64. This reflects actual dividend yield of 4.1% at the last price of $39.95.</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Press releases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480"/>
        <w:gridCol w:w="58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Country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Headline</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Plains All American Announces Sale of Minority Ownership Interest in Keyera Fort Saskatchewan Joint Venture</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People in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480"/>
        <w:gridCol w:w="61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Country</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Excerpts</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Commercial Officer and President Marshall S. McCrea, was awarded 958,950 shares worth $11.2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Financial Officer Bradford D. Whitehurst, was awarded 243,750 shares worth $2.9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Senior Vice President A. Troy Sturrock, was awarded 66,000 shares worth $772,200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Executive Vice President and General Counsel Thomas Mason, was awarded 258,788 shares worth $3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J. Michael Sanner, has been awarded Stock Equivalent Units on 3,988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Judy R. McReynolds,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Peter D. Clarke,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Sheila G. Talton,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Frank A. Bozich, has been awarded Stock Equivalent Units on 3,490 shares at a transaction price of $40.12. The transaction date was December 13. The shares last traded at $40.53.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David L. Hauser,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USA</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120" w:type="dxa"/>
            <w:tcBorders>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Independent Director Rainbolt David E, has been awarded Stock Equivalent Units on 3,552 shares at a transaction price of $40.12. The transaction date was December 13. The shares last traded at $40.13.</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0" w:history="1">
        <w:r>
          <w:rPr>
            <w:rFonts w:ascii="times" w:eastAsia="times" w:hAnsi="times" w:cs="times"/>
            <w:b w:val="0"/>
            <w:i/>
            <w:strike w:val="0"/>
            <w:noProof w:val="0"/>
            <w:color w:val="0077CC"/>
            <w:position w:val="0"/>
            <w:sz w:val="20"/>
            <w:u w:val="single"/>
            <w:shd w:val="clear" w:color="auto" w:fill="FFFFFF"/>
            <w:vertAlign w:val="baseline"/>
          </w:rPr>
          <w:t>www.BuySellSignals.com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Daily Pipelines Sector Sector Newsletter Friday December 16,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ySellSignal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S-6G41-JB4F-Y45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Round Up - Pipelines Sector: Newsfeed on Monday December 19,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