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Transfer's Dual Drive Technologies Receives Environmental Excellence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29, 2021 Wednesday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DALLAS, Sept. 29 -- Energy Transfer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Dual Drives Reduced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2020 by more than 630,000 tons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Transfer's Dual Drive Technologies yesterday received the Environmental Excellence Award from the GPA Midstream Association. Dual Drive was selected for the Environmental Excellence Award from among the affiliated GPSA Midstream Suppliers. The award for innovative environmental solutions was presented at the GPA Midstream convention in San Antonio.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Transfer's Dual Drive natural gas compression system features patented technology that involves both a natural gas engine and an electric motor allowing each individual Dual Drive compression unit to switch between drivers at any time to actively manage both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use of the electrical grid. The first Dual Drive was installed in East Texas in 2000, and since then has grown into a fleet of approximately 450,000 horsepower in multiple services from field gathering, transmission and cryogenic plant installations.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so pleased to be recognized by our industry peers for the benefits of this technology, which can be significant in reducing Scope 1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said David Coker, Vice President, Power Solutions for Energy Transfer. "Across our system of Dual Drives, we were able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630,000 tons in 2020 alone."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Dual Drive was selected by GPA's Midstream Environmental Committee for this innovative technology used by Energy Transfer at gas processing plants in Texas' Permian Basin. GPSA's award category focuses on innovative environmental solutions with measurable results and repeatable processes.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2021 Environmental Excellence Award adds to Dual Drive's list of accolades. Dual Drive Technologies received the 2012 Environmental Protection Agency's (EPA) award for Best Available Control Technology (BACT)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gas compression industry. And, in 2009, Dual Drive received the Innovative Technologies Award from the Texas Commission on Environmental Quality (TCEQ). This award also focused 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website at energytransfer.com.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Energy Transfer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30,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Transfer's Dual Drive Technologies Receives Environmental Excellence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B-87V1-DXMP-K22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Transfer's Dual Drive Technologies Receives Environmental Excellence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