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Foundation and Exelon Corp. Name Selected Startups in Second Round of Climate Change Investment Initiative; Application process now open for startups addressing climate change in Atlantic City, Baltimore, Chicago, Philadelphia, Washington, D.C., and Wilmington, DE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9, 2021 Wednesday 2:58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1241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Exelon Foundation and Exelon Corp., the nation's largest generator of carbon-free energy, have selected nine startups to receive funding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climate change as part of the company's Climate Change Investment Initiative (2c2i). Now in its second year, the initiative demonstrates the Exelon Foundation's commitment to support programs that benefit the environment, particularly those in underserved communities, which are disproportionately impacted by climate change. The 2c2i initiative adds to Exelon Corp.'s continuing goal to create a clean, next-generation energy grid, utilizing the innovative approach of impact investing to mitigate climate change.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https://www.businesswire.com/news/home/20210609005644/en/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first cohort of the Exelon 2c2i selected startups have been busy this past year, with projects ranging from Amidus Resilience's distributed solar installation in Washington, D.C., to the pending deployment of Dynamhex's map-based decarbonization tool in the Baltimore, Md., region to Greenprint Partner's rain-friendly, green stormwater mitigation project about to break ground at Sankofa Freedom Academy, a K-12 Charter school in Philadelphia. For a full list of the first 2c2i portfolio, please click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second round of selected startups to receive funding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Cambium Carbon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in Albuquerque, N.M., </w:t>
      </w:r>
      <w:hyperlink r:id="rId11" w:history="1">
        <w:r>
          <w:rPr>
            <w:rFonts w:ascii="times" w:eastAsia="times" w:hAnsi="times" w:cs="times"/>
            <w:b w:val="0"/>
            <w:i/>
            <w:strike w:val="0"/>
            <w:noProof w:val="0"/>
            <w:color w:val="0077CC"/>
            <w:position w:val="0"/>
            <w:sz w:val="20"/>
            <w:u w:val="single"/>
            <w:shd w:val="clear" w:color="auto" w:fill="FFFFFF"/>
            <w:vertAlign w:val="baseline"/>
          </w:rPr>
          <w:t>Cambium Carbon</w:t>
        </w:r>
      </w:hyperlink>
      <w:r>
        <w:rPr>
          <w:rFonts w:ascii="times" w:eastAsia="times" w:hAnsi="times" w:cs="times"/>
          <w:b w:val="0"/>
          <w:i w:val="0"/>
          <w:strike w:val="0"/>
          <w:noProof w:val="0"/>
          <w:color w:val="000000"/>
          <w:position w:val="0"/>
          <w:sz w:val="20"/>
          <w:u w:val="none"/>
          <w:vertAlign w:val="baseline"/>
        </w:rPr>
        <w:t xml:space="preserve"> is a circular economy platform for trees in US cities that connects broken local supply chains through tech to create a new, highly desirable, class of wood called Carbon-Smart WoodTM. They are building a two-sided marketplace where customers can access hyper-sustainable wood, and suppliers have a software-enabled connection to large recurring orders.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ClearFlame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headquarters in Geneva, Ill., </w:t>
      </w:r>
      <w:hyperlink r:id="rId12" w:history="1">
        <w:r>
          <w:rPr>
            <w:rFonts w:ascii="times" w:eastAsia="times" w:hAnsi="times" w:cs="times"/>
            <w:b w:val="0"/>
            <w:i/>
            <w:strike w:val="0"/>
            <w:noProof w:val="0"/>
            <w:color w:val="0077CC"/>
            <w:position w:val="0"/>
            <w:sz w:val="20"/>
            <w:u w:val="single"/>
            <w:shd w:val="clear" w:color="auto" w:fill="FFFFFF"/>
            <w:vertAlign w:val="baseline"/>
          </w:rPr>
          <w:t>ClearFlame</w:t>
        </w:r>
      </w:hyperlink>
      <w:r>
        <w:rPr>
          <w:rFonts w:ascii="times" w:eastAsia="times" w:hAnsi="times" w:cs="times"/>
          <w:b w:val="0"/>
          <w:i w:val="0"/>
          <w:strike w:val="0"/>
          <w:noProof w:val="0"/>
          <w:color w:val="000000"/>
          <w:position w:val="0"/>
          <w:sz w:val="20"/>
          <w:u w:val="none"/>
          <w:vertAlign w:val="baseline"/>
        </w:rPr>
        <w:t xml:space="preserve"> 's patented engine technology enables diesel engines to run on decarbonized liquid fuels without sacrificing performance or practicality, driving the fastest path to true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in heavy-duty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Climate Robotics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Climate Robotics</w:t>
        </w:r>
      </w:hyperlink>
      <w:r>
        <w:rPr>
          <w:rFonts w:ascii="times" w:eastAsia="times" w:hAnsi="times" w:cs="times"/>
          <w:b w:val="0"/>
          <w:i w:val="0"/>
          <w:strike w:val="0"/>
          <w:noProof w:val="0"/>
          <w:color w:val="000000"/>
          <w:position w:val="0"/>
          <w:sz w:val="20"/>
          <w:u w:val="none"/>
          <w:vertAlign w:val="baseline"/>
        </w:rPr>
        <w:t xml:space="preserve"> leverages advanced robotics and artificial intelligence to fight climate change through the development of autonomous, continuous biochar production systems to improve soils and help sequester carbon. Climate Robotics is based in Walnut, Calif.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Compost Crew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in Rockville, Md., </w:t>
      </w:r>
      <w:hyperlink r:id="rId14" w:history="1">
        <w:r>
          <w:rPr>
            <w:rFonts w:ascii="times" w:eastAsia="times" w:hAnsi="times" w:cs="times"/>
            <w:b w:val="0"/>
            <w:i/>
            <w:strike w:val="0"/>
            <w:noProof w:val="0"/>
            <w:color w:val="0077CC"/>
            <w:position w:val="0"/>
            <w:sz w:val="20"/>
            <w:u w:val="single"/>
            <w:shd w:val="clear" w:color="auto" w:fill="FFFFFF"/>
            <w:vertAlign w:val="baseline"/>
          </w:rPr>
          <w:t>Compost Crew</w:t>
        </w:r>
      </w:hyperlink>
      <w:r>
        <w:rPr>
          <w:rFonts w:ascii="times" w:eastAsia="times" w:hAnsi="times" w:cs="times"/>
          <w:b w:val="0"/>
          <w:i w:val="0"/>
          <w:strike w:val="0"/>
          <w:noProof w:val="0"/>
          <w:color w:val="000000"/>
          <w:position w:val="0"/>
          <w:sz w:val="20"/>
          <w:u w:val="none"/>
          <w:vertAlign w:val="baseline"/>
        </w:rPr>
        <w:t xml:space="preserve"> 's organics recycling business offers simple, convenient and affordable food waste collection services at scale. This company integrates its distributed composting technology with its collection routes to build closed loop food recycling networks for any community, municipality or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ecoSPEARS</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ecoSPEARS</w:t>
        </w:r>
      </w:hyperlink>
      <w:r>
        <w:rPr>
          <w:rFonts w:ascii="times" w:eastAsia="times" w:hAnsi="times" w:cs="times"/>
          <w:b w:val="0"/>
          <w:i w:val="0"/>
          <w:strike w:val="0"/>
          <w:noProof w:val="0"/>
          <w:color w:val="000000"/>
          <w:position w:val="0"/>
          <w:sz w:val="20"/>
          <w:u w:val="none"/>
          <w:vertAlign w:val="baseline"/>
        </w:rPr>
        <w:t xml:space="preserve"> is a cleantech company ushering in the net-zero future of environmental remediation. This Altamonte Springs, Fla.--based company develops transformative green technologies that extract and eliminate persistent toxins like PCBs, dioxins, and other persistent organic pollutants (POPS) from the soil, sediment, and water utilizing non-thermal and non-combustion technologies invented by NASA.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ISeeChange</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ISeeChange</w:t>
        </w:r>
      </w:hyperlink>
      <w:r>
        <w:rPr>
          <w:rFonts w:ascii="times" w:eastAsia="times" w:hAnsi="times" w:cs="times"/>
          <w:b w:val="0"/>
          <w:i w:val="0"/>
          <w:strike w:val="0"/>
          <w:noProof w:val="0"/>
          <w:color w:val="000000"/>
          <w:position w:val="0"/>
          <w:sz w:val="20"/>
          <w:u w:val="none"/>
          <w:vertAlign w:val="baseline"/>
        </w:rPr>
        <w:t xml:space="preserve"> 's digital dialogue and data platform enables cities to improve modeling, develop smarter infrastructure, enhance emergency preparedness, and grow public trust in major public infrastructure projects. By building collective climate intelligence, this New Orleans-based company saves clients hundreds of thousands of dollars and helps to efficiently facilitate inclusive adaptation to big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Lula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Philadelphia, </w:t>
      </w:r>
      <w:hyperlink r:id="rId17" w:history="1">
        <w:r>
          <w:rPr>
            <w:rFonts w:ascii="times" w:eastAsia="times" w:hAnsi="times" w:cs="times"/>
            <w:b w:val="0"/>
            <w:i/>
            <w:strike w:val="0"/>
            <w:noProof w:val="0"/>
            <w:color w:val="0077CC"/>
            <w:position w:val="0"/>
            <w:sz w:val="20"/>
            <w:u w:val="single"/>
            <w:shd w:val="clear" w:color="auto" w:fill="FFFFFF"/>
            <w:vertAlign w:val="baseline"/>
          </w:rPr>
          <w:t>Lula</w:t>
        </w:r>
      </w:hyperlink>
      <w:r>
        <w:rPr>
          <w:rFonts w:ascii="times" w:eastAsia="times" w:hAnsi="times" w:cs="times"/>
          <w:b w:val="0"/>
          <w:i w:val="0"/>
          <w:strike w:val="0"/>
          <w:noProof w:val="0"/>
          <w:color w:val="000000"/>
          <w:position w:val="0"/>
          <w:sz w:val="20"/>
          <w:u w:val="none"/>
          <w:vertAlign w:val="baseline"/>
        </w:rPr>
        <w:t xml:space="preserve"> provides carbon-neutral delivery solutions for convenience stores, pharmacies, and CPG brands that do not have a secondary sales channel, offering the first multi-vendor 30-minute delivery platform and a commitment to building a cleaner, more sustainable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Manta Biofuel</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Manta Biofuel</w:t>
        </w:r>
      </w:hyperlink>
      <w:r>
        <w:rPr>
          <w:rFonts w:ascii="times" w:eastAsia="times" w:hAnsi="times" w:cs="times"/>
          <w:b w:val="0"/>
          <w:i w:val="0"/>
          <w:strike w:val="0"/>
          <w:noProof w:val="0"/>
          <w:color w:val="000000"/>
          <w:position w:val="0"/>
          <w:sz w:val="20"/>
          <w:u w:val="none"/>
          <w:vertAlign w:val="baseline"/>
        </w:rPr>
        <w:t xml:space="preserve"> produces renewable, cost-competitive, carbon-neutral heating oil produced from the CO2 that their algae biomass captures from the air. Located in Owings Mills, Md., this company's process is unique because it is agricultural, distributed, and modular, in contrast to the photobioreactors of biofuel's past.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Varuna</w:t>
      </w:r>
    </w:p>
    <w:p>
      <w:pPr>
        <w:keepNext w:val="0"/>
        <w:spacing w:before="240" w:after="0" w:line="260" w:lineRule="atLeast"/>
        <w:ind w:left="0" w:right="0" w:firstLine="0"/>
        <w:jc w:val="both"/>
      </w:pPr>
      <w:hyperlink r:id="rId19" w:history="1">
        <w:r>
          <w:rPr>
            <w:rFonts w:ascii="times" w:eastAsia="times" w:hAnsi="times" w:cs="times"/>
            <w:b w:val="0"/>
            <w:i/>
            <w:strike w:val="0"/>
            <w:color w:val="0077CC"/>
            <w:sz w:val="20"/>
            <w:u w:val="single"/>
            <w:shd w:val="clear" w:color="auto" w:fill="FFFFFF"/>
            <w:vertAlign w:val="baseline"/>
          </w:rPr>
          <w:t>Varuna</w:t>
        </w:r>
      </w:hyperlink>
      <w:r>
        <w:rPr>
          <w:rFonts w:ascii="times" w:eastAsia="times" w:hAnsi="times" w:cs="times"/>
          <w:b w:val="0"/>
          <w:i w:val="0"/>
          <w:strike w:val="0"/>
          <w:noProof w:val="0"/>
          <w:color w:val="000000"/>
          <w:position w:val="0"/>
          <w:sz w:val="20"/>
          <w:u w:val="none"/>
          <w:vertAlign w:val="baseline"/>
        </w:rPr>
        <w:t xml:space="preserve"> 's data and insights platform generate digital representations of physical (utilities and buildings) water systems, through the deployment of sensors and an AI-powered software platform. Based in Chicago, Varuna's platform empowers operators to effectively manage the system, predict shocks and increase system resilience.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10 years, the Exelon Foundation is contributing $10 million to fund the 2c2i initiative, focusing on clean energy and environmental technologies with potential for wide-scale commercialization. Exelon Corporation matches that investment with up to a $10 million in-kind investment of pro-bono services, including mentoring entrepreneurs on ways to access other sources of capital, structure business plans, allocate financial resources and meet regulatory requirements. Selected startups also can tap the company's internal innovation programs - Constellation Technology Ventures and Partnership R&amp;D - for counsel.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qualify for 2c2i consideration, startups must be doing work that will benefit one or more of Exelon's six major urban markets (Atlantic City, Chicago, Baltimore, Philadelphia, Washington, D.C., and Wilmington, DE.) and have the potential to do one of the following: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Mitigate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Boost the resiliency of urban infrastructure (e.g., the power grid, transportation systems, buildings, vacant land) against flood, stormwater and rising temperatures;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 cities, businesses and communities adapt to climate change; or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 achieve a state or city's specific sustainability and climate goals.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application process for year three of 2c2i is open. For more information, click </w:t>
      </w:r>
      <w:hyperlink r:id="rId2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would like to recognize 2021 law firm sponsor, Katten, which is providing in-kind legal services in support of the 2c2i program climate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is a Fortune 100 energy company with the largest number of electricity and natural gas customers in the U.S. Exelon does business in 48 states, the District of Columbia and Canada and had 2020 revenue of $33 billion. Exelon serves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31,000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three fourths of the Fortune 100. Follow Exelon on Twitter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Exelon Foundation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is an independent, nonprofit organization funded solely by Exelon Corporation through shareholder dollars. The mission of the Foundation is to encourage respect for the environment, support innovative STEM education programs and strengthen the social and economic fabric of the community by providing a match to Exelon employee contributions.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https://www.businesswire.com/news/home/20210609005644/en/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Elizabeth Keating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312-848-0176</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elizabeth.keating@exeloncorp.com</w:t>
        </w:r>
      </w:hyperlink>
    </w:p>
    <w:p>
      <w:pPr>
        <w:keepNext w:val="0"/>
        <w:spacing w:before="240" w:after="0" w:line="260" w:lineRule="atLeast"/>
        <w:ind w:left="0" w:right="0" w:firstLine="0"/>
        <w:jc w:val="left"/>
      </w:pPr>
      <w:r>
        <w:br/>
      </w:r>
      <w:hyperlink r:id="rId2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Foundation and Exelon Corp. Name Selected Startups in Second Round of Climate Change Investment Initiative; Application process now open for startups add....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xelonfoundation.org%2Fenvironment.html&amp;esheet=52442719&amp;newsitemid=20210609005644&amp;lan=en-US&amp;anchor=here&amp;index=1&amp;md5=49f5ed1ec5bdcc7649b417a079fe40fe" TargetMode="External" /><Relationship Id="rId11" Type="http://schemas.openxmlformats.org/officeDocument/2006/relationships/hyperlink" Target="https://cts.businesswire.com/ct/CT?id=smartlink&amp;url=https%3A%2F%2Fnam04.safelinks.protection.outlook.com%2F%3Furl%3Dhttp%253A%252F%252Fwww.cambiumcarbon.com%252F%26data%3D04%257C01%257CElizabeth.Keating%2540exeloncorp.com%257C1761842d6b8843af38fa08d91c75af56%257C600d01fc055f49c6868f3ecfcc791773%257C0%257C0%257C637572114053383268%257CUnknown%257CTWFpbGZsb3d8eyJWIjoiMC4wLjAwMDAiLCJQIjoiV2luMzIiLCJBTiI6Ik1haWwiLCJXVCI6Mn0%253D%257C1000%26sdata%3D1lUmv1EOEcLOSUIzdeHbJmAW8JDdJ3cYn3b9YkbtsxE%253D%26reserved%3D0&amp;esheet=52442719&amp;newsitemid=20210609005644&amp;lan=en-US&amp;anchor=Cambium+Carbon&amp;index=2&amp;md5=d1a9ec57fff932f7e4738d5a107ab6d4" TargetMode="External" /><Relationship Id="rId12" Type="http://schemas.openxmlformats.org/officeDocument/2006/relationships/hyperlink" Target="https://cts.businesswire.com/ct/CT?id=smartlink&amp;url=https%3A%2F%2Fwww.clearflameengines.com%2F&amp;esheet=52442719&amp;newsitemid=20210609005644&amp;lan=en-US&amp;anchor=ClearFlame&amp;index=3&amp;md5=7edf320572c5e289e5b7c0383b4842b9" TargetMode="External" /><Relationship Id="rId13" Type="http://schemas.openxmlformats.org/officeDocument/2006/relationships/hyperlink" Target="https://cts.businesswire.com/ct/CT?id=smartlink&amp;url=https%3A%2F%2Fwww.climaterobotics.com%2F&amp;esheet=52442719&amp;newsitemid=20210609005644&amp;lan=en-US&amp;anchor=Climate+Robotics&amp;index=4&amp;md5=6799e0d07fd62b03f35a2b3bd0da2f9f" TargetMode="External" /><Relationship Id="rId14" Type="http://schemas.openxmlformats.org/officeDocument/2006/relationships/hyperlink" Target="https://cts.businesswire.com/ct/CT?id=smartlink&amp;url=https%3A%2F%2Fcompostcrew.com%2F&amp;esheet=52442719&amp;newsitemid=20210609005644&amp;lan=en-US&amp;anchor=Compost+Crew&amp;index=5&amp;md5=8af805a49ab954bf16061f168d71d7e0" TargetMode="External" /><Relationship Id="rId15" Type="http://schemas.openxmlformats.org/officeDocument/2006/relationships/hyperlink" Target="https://cts.businesswire.com/ct/CT?id=smartlink&amp;url=https%3A%2F%2Fecospears.com%2F&amp;esheet=52442719&amp;newsitemid=20210609005644&amp;lan=en-US&amp;anchor=ecoSPEARS&amp;index=6&amp;md5=9c581e4a77b1f555c950561471e60aff" TargetMode="External" /><Relationship Id="rId16" Type="http://schemas.openxmlformats.org/officeDocument/2006/relationships/hyperlink" Target="https://cts.businesswire.com/ct/CT?id=smartlink&amp;url=https%3A%2F%2Fwww.iseechange.org%2F&amp;esheet=52442719&amp;newsitemid=20210609005644&amp;lan=en-US&amp;anchor=ISeeChange&amp;index=7&amp;md5=26d32a07f66372bccea8dff6a88e43d1" TargetMode="External" /><Relationship Id="rId17" Type="http://schemas.openxmlformats.org/officeDocument/2006/relationships/hyperlink" Target="https://cts.businesswire.com/ct/CT?id=smartlink&amp;url=https%3A%2F%2Fwww.luladelivery.com%2F&amp;esheet=52442719&amp;newsitemid=20210609005644&amp;lan=en-US&amp;anchor=Lula&amp;index=8&amp;md5=f70c7297531a12c8c55227f9be599884" TargetMode="External" /><Relationship Id="rId18" Type="http://schemas.openxmlformats.org/officeDocument/2006/relationships/hyperlink" Target="https://cts.businesswire.com/ct/CT?id=smartlink&amp;url=https%3A%2F%2Fmantabiofuel.com%2F&amp;esheet=52442719&amp;newsitemid=20210609005644&amp;lan=en-US&amp;anchor=Manta+Biofuel&amp;index=9&amp;md5=0b24682c86e644081ecc8fdd64535db5" TargetMode="External" /><Relationship Id="rId19" Type="http://schemas.openxmlformats.org/officeDocument/2006/relationships/hyperlink" Target="https://cts.businesswire.com/ct/CT?id=smartlink&amp;url=https%3A%2F%2Fwww.varunaiot.com%2F&amp;esheet=52442719&amp;newsitemid=20210609005644&amp;lan=en-US&amp;anchor=Varuna&amp;index=10&amp;md5=00bf5304727e279a6b27773a2656f328"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www.cybergrants.com%2Fexelon%2FClimateChangeImpactFund&amp;esheet=52442719&amp;newsitemid=20210609005644&amp;lan=en-US&amp;anchor=here&amp;index=11&amp;md5=e4e871cb72c880c44dff2859993b2b95" TargetMode="External" /><Relationship Id="rId21" Type="http://schemas.openxmlformats.org/officeDocument/2006/relationships/hyperlink" Target="mailto:elizabeth.keating@exeloncorp.com" TargetMode="External" /><Relationship Id="rId22" Type="http://schemas.openxmlformats.org/officeDocument/2006/relationships/hyperlink" Target="http://www.businesswire.com"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W8-6YG1-DXY3-03Y6-00000-00&amp;context=1516831" TargetMode="External" /><Relationship Id="rId9" Type="http://schemas.openxmlformats.org/officeDocument/2006/relationships/hyperlink" Target="https://www.businesswire.com/news/home/2021060900564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Foundation and Exelon Corp. Name Selected Startups in Second Round of Climate Change Investment Initiative; Application process now open for startups addressing climate change in Atlantic City, Baltimore, Chicago, Philadelphia, Washington, D.C., and Wilmington, 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