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Announces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Reduction Plans; Expects to Meet 2020 Goals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2020 Monday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988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plans further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over the next five years to support the goals of the Paris Agreement and anticipates meeting year-end 2020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plans to reduce the intensity of operated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to 20 percent by 2025, compared to 2016 levels. This will be supported by a 40 to 50 percent decrease in methane intensity, and a 35 to 45 percent decrease in flaring intensity across its global operations.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plans, which cover Scope 1 and Scope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are projected to be consistent with the goals of the Paris Agreement. The company also plans to align with the World Bank's initiative to eliminate routine flaring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meaningful near-term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result from our ongoing business planning process as we work towards industry-leading greenhouse gas performance across all our business lines," said Darren Woods, chairman and chief executive officer of Exxon Mobil Corporation. "We respect and support society's ambition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and continue to advocate for policies that promote cost-effective, market-based solutions to address the risks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ExxonMobil's plans will leverage the continued application of operational efficiencies, and ongoing development and deployment of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 is the result of several months of detailed analysis and includes input from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measures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Continued investments in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such as carbon capture, manufacturing efficiencies, and advanced biofuels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Increased cogeneration capacity at manufacturing facilities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Continued support for sound policies that put a price on carbon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Continued accounting for environmental performance as part of executive compensation.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will also provide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on an annual basis, but notes that reporting of these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does not ultimately incentivize reductions by the actual emitters. Meaningful decreases in global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require changes in society's energy choices coupled with the development and deployment of affordable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the company has invested more than $10 billion researching, developing and deploying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including nearly $3 billion at cogeneration facilities that more efficiently produce electricity and reduce related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2018, ExxonMobil announced plans to achieve by year-end 2020, a 15 percent decrease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 25 percent reduction in flaring, compared with 2016 levels. The company anticipates meeting both by year end. Detailed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is reported in annual publications, including the Energy and Carbon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supported the Paris Agreement from its inception and continues to support U.S. government participation in the framework. ExxonMobil assesses its business strategy and plans against a range of scenarios, including those that meet the objectives of the Paris Agreement, which assume progress in technologies, infrastructure and government policies related to climate change.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supported the Oil and Gas Climate Initiative's announcement to reduce methane and carbon intensity for upstream operations. It also deployed new technologies throughout its operations to reduce flaring and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while working to test </w:t>
      </w:r>
      <w:hyperlink r:id="rId9" w:history="1">
        <w:r>
          <w:rPr>
            <w:rFonts w:ascii="times" w:eastAsia="times" w:hAnsi="times" w:cs="times"/>
            <w:b w:val="0"/>
            <w:i/>
            <w:strike w:val="0"/>
            <w:noProof w:val="0"/>
            <w:color w:val="0077CC"/>
            <w:position w:val="0"/>
            <w:sz w:val="20"/>
            <w:u w:val="single"/>
            <w:shd w:val="clear" w:color="auto" w:fill="FFFFFF"/>
            <w:vertAlign w:val="baseline"/>
          </w:rPr>
          <w:t>new technologies</w:t>
        </w:r>
      </w:hyperlink>
      <w:r>
        <w:rPr>
          <w:rFonts w:ascii="times" w:eastAsia="times" w:hAnsi="times" w:cs="times"/>
          <w:b w:val="0"/>
          <w:i w:val="0"/>
          <w:strike w:val="0"/>
          <w:noProof w:val="0"/>
          <w:color w:val="000000"/>
          <w:position w:val="0"/>
          <w:sz w:val="20"/>
          <w:u w:val="none"/>
          <w:vertAlign w:val="baseline"/>
        </w:rPr>
        <w:t xml:space="preserve"> to detect and measure fugitive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publicly supports the regulation of methane from new and existing sources and issued a </w:t>
      </w:r>
      <w:hyperlink r:id="rId10" w:history="1">
        <w:r>
          <w:rPr>
            <w:rFonts w:ascii="times" w:eastAsia="times" w:hAnsi="times" w:cs="times"/>
            <w:b w:val="0"/>
            <w:i/>
            <w:strike w:val="0"/>
            <w:noProof w:val="0"/>
            <w:color w:val="0077CC"/>
            <w:position w:val="0"/>
            <w:sz w:val="20"/>
            <w:u w:val="single"/>
            <w:shd w:val="clear" w:color="auto" w:fill="FFFFFF"/>
            <w:vertAlign w:val="baseline"/>
          </w:rPr>
          <w:t>methane regulatory framework</w:t>
        </w:r>
      </w:hyperlink>
      <w:r>
        <w:rPr>
          <w:rFonts w:ascii="times" w:eastAsia="times" w:hAnsi="times" w:cs="times"/>
          <w:b w:val="0"/>
          <w:i w:val="0"/>
          <w:strike w:val="0"/>
          <w:noProof w:val="0"/>
          <w:color w:val="000000"/>
          <w:position w:val="0"/>
          <w:sz w:val="20"/>
          <w:u w:val="none"/>
          <w:vertAlign w:val="baseline"/>
        </w:rPr>
        <w:t xml:space="preserve"> for governments to consider as they draft new policies.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w:t>
      </w:r>
      <w:hyperlink r:id="rId11"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2"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goals or conditions in this release are forward-looking statements. Actual future results, including project plans and timing, future reductions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the impact of operational and technology efforts could vary depending on the ability to execute operational objectives on a timely and successful basis; changes in laws and regulations including international treaties and laws and regulations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carbon costs; trade patterns and the development and enforcement of local, national and regional mandates; unforeseen technical or operational difficulties; the outcome of research efforts and future technology developments, including the ability to scale projects and technologies on a commercially competitive basis; changes in supply and demand and other market factors affecting future prices of oil, gas, and petrochemical products; changes in the relative energy mix across activities and geographies; the actions of competitors; changes in regional and global economic growth rates and consumer preferences; the pace of regional and global recovery from the COVID-19 pandemic and actions taken by governments and consumers resulting from the pandemic; changes in population growth, economic development or migration patterns; and other factors discussed in this release and in Item 1A. "Risk Factors" in ExxonMobil's Annual Report on Form 10-K for 2019 and subsequent Quarterly Reports on Forms 10-Q, as well as under the heading "Factors Affecting Future Results" on the Investors page of ExxonMobil's website at </w:t>
      </w:r>
      <w:hyperlink r:id="rId15"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6"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https://www.businesswire.com/news/home/20201214005262/en/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Emission Reduction Plans; Expects to Meet 2020 Goals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2Fmedia%2FGlobal%2FFiles%2Fnewsroom%2Fpublications-and-reports%2FMitigating-Methane-Emissions-from-the-Oil-and-Gas-Industry-Model-Regulatory-Framework.pdf&amp;esheet=52347626&amp;newsitemid=20201214005262&amp;lan=en-US&amp;anchor=methane+regulatory+framework&amp;index=2&amp;md5=55e50e978cfec31e41489abb6eca0859" TargetMode="External" /><Relationship Id="rId11" Type="http://schemas.openxmlformats.org/officeDocument/2006/relationships/hyperlink" Target="https://cts.businesswire.com/ct/CT?id=smartlink&amp;url=http%3A%2F%2Fwww.exxonmobil.com%2F&amp;esheet=52347626&amp;newsitemid=20201214005262&amp;lan=en-US&amp;anchor=exxonmobil.com&amp;index=3&amp;md5=7c8e32c6f04f3452c33c1594e2abe44a" TargetMode="External" /><Relationship Id="rId12" Type="http://schemas.openxmlformats.org/officeDocument/2006/relationships/hyperlink" Target="https://cts.businesswire.com/ct/CT?id=smartlink&amp;url=https%3A%2F%2Fenergyfactor.exxonmobil.com%2F&amp;esheet=52347626&amp;newsitemid=20201214005262&amp;lan=en-US&amp;anchor=Energy+Factor&amp;index=4&amp;md5=2a8cb497630bc3fe71bd1c88f55e9ad6" TargetMode="External" /><Relationship Id="rId13" Type="http://schemas.openxmlformats.org/officeDocument/2006/relationships/hyperlink" Target="https://cts.businesswire.com/ct/CT?id=smartlink&amp;url=https%3A%2F%2Ftwitter.com%2Fexxonmobil&amp;esheet=52347626&amp;newsitemid=20201214005262&amp;lan=en-US&amp;anchor=Twitter&amp;index=5&amp;md5=0e29b873c8e3cc3979b4223b9c24475d" TargetMode="External" /><Relationship Id="rId14" Type="http://schemas.openxmlformats.org/officeDocument/2006/relationships/hyperlink" Target="https://cts.businesswire.com/ct/CT?id=smartlink&amp;url=https%3A%2F%2Fwww.linkedin.com%2Fcompany%2Fexxonmobil%2F&amp;esheet=52347626&amp;newsitemid=20201214005262&amp;lan=en-US&amp;anchor=LinkedIn&amp;index=6&amp;md5=80bf31f7a137c99782b25eb6891a3c50" TargetMode="External" /><Relationship Id="rId15" Type="http://schemas.openxmlformats.org/officeDocument/2006/relationships/hyperlink" Target="https://cts.businesswire.com/ct/CT?id=smartlink&amp;url=https%3A%2F%2Fwww.exxonmobil.com%2F&amp;esheet=52347626&amp;newsitemid=20201214005262&amp;lan=en-US&amp;anchor=www.exxonmobil.com&amp;index=7&amp;md5=e5a3c5d4782d2699f7f7ec5b268b21a3" TargetMode="External" /><Relationship Id="rId16" Type="http://schemas.openxmlformats.org/officeDocument/2006/relationships/hyperlink" Target="https://www.businesswire.com/news/home/20201214005262/en/"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HH-6V11-DXY3-027K-00000-00&amp;context=1516831" TargetMode="External" /><Relationship Id="rId9" Type="http://schemas.openxmlformats.org/officeDocument/2006/relationships/hyperlink" Target="https://cts.businesswire.com/ct/CT?id=smartlink&amp;url=https%3A%2F%2Fcorporate.exxonmobil.com%2FNews%2FNewsroom%2FNews-releases%2F2020%2F0409_ExxonMobil-field-testing-new-comprehensive-methane-monitoring-technologies&amp;esheet=52347626&amp;newsitemid=20201214005262&amp;lan=en-US&amp;anchor=new+technologies&amp;index=1&amp;md5=ddc58a87943d848e60a60ca3a9371f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Announces Emission Reduction Plans; Expects to Meet 2020 Goals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