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Progresses Growth Plans and Efforts to Advance Lower-</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Technologies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30,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751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IRVING: Exxon Mobil Corporation has issued the following press release:  ExxonMobil is progressing growth plans to substantially increase earnings and cash flow potential while researching technology breakthroughs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Chairman and CEO Darren Woods told shareholders during the company’s annual meeting today.  “We are committed to sharing the company’s success with our shareholders,” said Woods. “Higher earnings and increased cash flow from our investments are a good means to accomplish this. We are equally committed to helping society reduce global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while supporting growth and prosperity for communities around the world – effectively addressing the dual challenge.”  ExxonMobil expects to increase annual earnings potential by more than 140 percent and double potential annual cash flow from operations by 2025 from 2017 adjusted earnings, assuming a 2017 oil price of $60 per barrel adjusted for inflation and based on 2017 margins.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During the meeting, Woods highlighted progress on major upstream projects that are expected to help increase production to about 5 million oil-equivalent barrels per day by 2025.  Those projects include plans to increase production in the Permian Basin to 1 million oil-equivalent barrels per day by 2024. In Guyana, ExxonMobil recently announced the 13th discovery on the Stabroek block, adding to the previously estimated 5.5 billion barrels of discovered recoverable resource. Guyana’s first oil production is on track for early next year – just five years after discovery.  In Brazil, the company has acquired 2.3 million net acres in one of the world’s most promising exploration plays and is finalizing development plans for the Carcara resource, which will begin production by 2024. In Mozambique, ExxonMobil secured offtake commitments for the Rovuma LNG project as it progresses toward a final investment decision. And in Papua New Guinea, the company is planning a three-train liquefied natural gas expansion as it continues to explore for gas in the country’s Highlands region.  In its downstream and chemical businesses, ExxonMobil is on track to more than double earnings potential from 2017 adjusted results by 2025, assuming constant 2017 margins, with investments that capitalize on proprietary technology.  “A great example is the new hydrocracker at our Rotterdam refinery which started up late last year,” said Woods. “Using technology we developed, we are now upgrading low-value product streams directly into higher-value base stocks and distillates – a first for our industry.”  Woods highlighted ExxonMobil’s continuing efforts to address society’s dual challenge of providing affordable energy necessary for economic growth while reducing environmental impacts.  Last year, ExxonMobil participated in a Vatican-led climate dialogue, joined the Oil and Gas Climate Initiative and advocated for policies such as a carbon tax and strong methane regulations.  Woods said the company continues its work on potential technology breakthroughs – including next-generation biofuels for transportation, carbon capture for power generation and new industrial processes to reduce energy use – to provide reliable, affordable and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energy at the necessary scale to have a global impact.  “The world needs additional solutions,” he said. “That’s where we think we can add significant value – leveraging ExxonMobil’s experience in the global energy system and our strong foundation in research and development.”  The company recently committed to spend up to $100 million over 10 years on research with the U.S. Department of Energy’s National Renewable Energy Laboratory and National Energy Technology Laboratory to bring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technologies to commercial scale.  “The agreement adds to our work with more than 80 universities around the world and with five energy centers – at MIT, Princeton, Stanford, the University of Texas and two national universities in Singapore,” said Woods. “In addition, we partner with private sector companies that have unique capabilities critical to potential breakthroughs, such as Synthetic Genomics on algae biofuels.”  During the meeting, shareholders re-elected ExxonMobil’s board of directors, supported the company’s executive compensation program, ratified PricewaterhouseCoopers LLP as independent auditors and supported board recommendations on seven shareholder-led proposals. The proxy voting results will be made available later today on the company’s website.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30,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Progresses Growth Plans and Efforts to Advance Lower-Emissions Technologies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76-R691-DXCW-D0RM-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-ConocoPhillips shareholders vote down stricter emissions goals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