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begins design studies for South East Australia carbon capture hub in Gippsland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15,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357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Irving, Texas: Exxon Mobil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said today it is undertaking early front-end engineering design studies (pre-FEED) to determine the potential for carbon capture and storage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multiple industries in the Gippsland Basin.</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Project could capture up to 2 million metric tons of CO2 per year</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Company in discussion with local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-intensive industries </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Project could start as early as 2025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South East Australia carbon capture and storage (SEA CCS) hub would initially use existing infrastructure to store CO2in the depleted Bream field off the coast of Gippsland, Victoria. The company is in active discussions with local industries which may be interested in accessing the SEA CCS hub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their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project is designed to capture up to 2 million metric tons of CO2per year. If technical and business feasibility is confirmed, the SEA CCS hub could be operational by 2025.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“Collaboration with other industries is an important step to unlock future carbon capture and storage opportunities for Australia, with the potential for large-scale reductions in the highest emitting industrial sectors,” said Joe Blommaert, president of ExxonMobil Low Carbon Solutions. “Sound government policies will accelerate the deployment of key technologies required to support society ’ s ambition for a net-zero future.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established its Low Carbon Solutions business to commercialize the company ’ s extensive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portfolio with the objective to create long-term shareholder value and support global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efforts.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Low Carbon Solutions is focused on commercializing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business opportunities in carbon capture and storage, hydrogen and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fuels, by leveraging the skills, knowledge and scale of ExxonMobil. The company has more than 30 years of experience capturing CO2and has cumulatively captured more human-made CO2than any other company. It has an equity share of about one-fifth of the world ’ s carbon capture and storage capacity at about 9 million metric tons per year.</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16,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begins design studies for South East Australia carbon capture hub in Gippsland</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7J-1Y31-F0YC-N3S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Gazprom signs Guiding Principles to reduce methane emissions across natural gas value chain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