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streamlines structure to enhance effectiveness, grow value, reduce costs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said today it is further streamlining its business structure by combining chemical and downstream companies and centralizing technology and engineering, and other support services, to better support customers, enhance performance and grow value.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Combines Chemical and Downstream businesses, centralizes Technology and Engineering and key service organizations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Enhances integration, customer focus and takes maximum advantage of corporate scale to improve performance, reduce costs and grow shareholder value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Continues ongoing effort to fully leverage competitive advantages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transformed business structure enables us to more fully leverage the corporation ’ s scale, integration, technology advantages, and the skills and capabilities of our talented workforce, to better serve our customers,” said Darren Woods, chairman and chief executive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“Aligning our businesses along market-focused value chains and centralizing service delivery, provides the flexibility to ensure our most capable resources are applied to the highest corporate priorities and positions us to deliver greater shareholder returns.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Effective April 1, the company will be organized along three business lines – ExxonMobil Upstream Company, ExxonMobil Product Solutions and ExxonMobil Low Carbon Solutions. They will be supported by a single technology organization, ExxonMobil Technology and Engineering, and other centralized service-delivery groups providing like capabilities, building on the successful consolidation of major projects across the corporation in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move is a further evolution of the company ’ s business model and part of its strategy to build globally competitive businesses that lead industry in earnings and cash flow growth, operating performance and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is on track to exceed $6 billion in structural cost savings by 2023, compared to 2019, driven by savings from the new business structure and measures such as centralizing procurement, digital transformation of processes, and right-sizing programs that were announced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ExxonMobil Product Solutions Company will engineer, manufacture and deliver products needed by modern society at an industry-leading scale, serving multiple segments, products and markets. It will play a critical role in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plastic waste by developing more sustainable products such as: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fuels to help decarbonize commercial transportation, including aviation and marine.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Chemical performance products that enable customer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in applications in the agriculture, health and renewable energy sectors.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Next-generation lubricants and plastics that improve efficiency for traditional and electric vehicles.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Certified circular polymers that bring new life to plastic waste through advanced recycling.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Product Solutions will be the market leader in sales of polyethylene and other high-value chemical products and hold the No. 2 market position in aromatics, lubricants and fuel additives.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Karen McKee, formerly president of ExxonMobil Chemical Company has been appointed to lead ExxonMobil Product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Technology and Engineering will integrate technology activities, improving value delivery through centralized management of technical capabilities tightly linked to business priorities.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Priorities include developing new technologies to significantly lower the cost of scope 1, 2 and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the asset level; increasing production yields and revenue; developing high-value differentiated products for customers; and improving advanced recycling of plastic waste.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Linda DuCharme, formerly president of ExxonMobil Upstream Integrated Solutions and ExxonMobil Upstream Business Development, has been appointed to lead ExxonMobil Technology and Engineering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change will also consolidate the Upstream into a single organization, ExxonMobil Upstream Company, which will be led by Liam Mallon, formerly president of ExxonMobil Upstream Oil and Gas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further collaboration and integration, the company said it will relocate its corporate headquarters from Irving, Texas, to its campus north of Houston. The move, which will be completed mid-year 2023, will enable closer teamwork to accelerate and increase value delivery through company-wide approaches.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greatly value our long history in Irving and appreciate the strong ties we have developed in the North Texas community,” said Woods. “Closer collaboration and the new streamlined business model will enable the company to grow shareholder value and position ExxonMobil for success through the energy transition.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streamlines structure to enhance effectiveness, grow value, reduce costs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PM-57C1-F0YC-N1G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begins design studies for South East Australia carbon capture hub in Gippsland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