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Needle Coke Market (2022 to 2027) - Industry Trends, Share, Size, Growth, Opportunity and Forecasts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11, 2022 Monday 10:15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707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hyperlink r:id="rId9" w:history="1">
        <w:r>
          <w:rPr>
            <w:rFonts w:ascii="times" w:eastAsia="times" w:hAnsi="times" w:cs="times"/>
            <w:b w:val="0"/>
            <w:i/>
            <w:strike w:val="0"/>
            <w:noProof w:val="0"/>
            <w:color w:val="0077CC"/>
            <w:position w:val="0"/>
            <w:sz w:val="20"/>
            <w:u w:val="single"/>
            <w:shd w:val="clear" w:color="auto" w:fill="FFFFFF"/>
            <w:vertAlign w:val="baseline"/>
          </w:rPr>
          <w:t>"Needle Coke Market: Global Industry Trends, Share, Size, Growth, Opportunity and Forecast 2022-2027"</w:t>
        </w:r>
      </w:hyperlink>
      <w:r>
        <w:rPr>
          <w:rFonts w:ascii="times" w:eastAsia="times" w:hAnsi="times" w:cs="times"/>
          <w:b w:val="0"/>
          <w:i w:val="0"/>
          <w:strike w:val="0"/>
          <w:noProof w:val="0"/>
          <w:color w:val="000000"/>
          <w:position w:val="0"/>
          <w:sz w:val="20"/>
          <w:u w:val="none"/>
          <w:vertAlign w:val="baseline"/>
        </w:rPr>
        <w:t xml:space="preserve">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needle coke market reached a value of US$ 3.76 Billion in 2021. Looking forward, the publisher expects the market to reach US$ 5.35 Billion by 2027, exhibiting at a CAGR of 5.96% during 2022-2027.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Asbury Carbons Inc.</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C-Chem CO. Ltd (Nippon Steel Corporation)</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ENEOS Holdings Inc.</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GrafTech International Ltd.</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Graphite India Limited</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HEG Limited</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Mitsubishi Chemical Holdings Corporation</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Mott Corporation</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Phillips 66 Company</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Sojitz Corporation</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Sumitomo Corporation</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Tokai Carbon Co. Ltd.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Keeping in mind the uncertainties of COVID-19, we are continuously tracking and evaluating the direct as well as the indirect influence of the pandemic on different end use industries. These insights are included in the report as a major market contributor.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Needle coke is a specialty grade carbon raw material derived from coal tar pitch, ethylene tar pitch, solvent refined coal, low-sulphur vacuum residues, or petroleum fluidized catalytic cracking (FCC) decant oil. It possesses high strength, electrical conductivity, real and bulk density, while having a low coefficient of thermal expansion (CTE) and heteroatom and ash content. It also exhibits excellent graphitizability on account of its strong parallel orientation of turbostratic layer structure and a particular physical shape of the grains.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Needle coke is widely used as a carbonaceous filler in the production of graphite electrodes for ultra-high power electric arc furnaces (EAF) in the steel smelting industry. As these electrodes have low resistivity, high mechanical strength, and excellent thermal shock resistance and oxidation resistance, they are extensively utilized to melt scrap substitutes and maintain the temperature of molten steel.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Moreover, needle coke finds applications in the manufacturing of synthetic graphite, which is used to make lithium-ion batteries for electric vehicles (EVs). This, in confluence with the escalating demand for EVs worldwide on account of the rising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increasing environmental concerns, is contributing to the market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Apart from this, needle coke is employed in the manufacturing of specialty carbon, which is gaining traction in the electronics industry as a viscosity control additive for electromagnetic shielding and a semi-conductive cable compound. In line with this, as specialty carbon has excellent tinting strength and dispersibility, it finds extensive usage in the construction industry. This, coupled with the thriving construction industry due to rapid urbanization and renovation of existing infrastructure, is anticipated to drive the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Questions Answered in This Report:</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How has the global needle coke market performed so far and how will it perform in the coming years?</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has been the impact of COVID-19 on the global needle coke market?</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key regional markets?</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breakup of the market based on the type?</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breakup of the market based on the grade?</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breakup of the market based on the application?</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breakup of the market based on the end use industry?</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various stages in the value chain of the industry?</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key driving factors and challenges in the industry?</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structure of the global needle coke market and who are the key players?</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degree of competition in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Preface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Scope and Methodology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Executive Summary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Introduction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 Key Industry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Global Needle Coke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 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 Market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 Impact of COVID-19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5.4 Market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Market Breakup by Type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Market Breakup by Grade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 Market Breakup by Application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 Market Breakup by End Use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 Market Breakup by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 SWOT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 Value Chain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 Porters Five Forces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 Price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 Competitive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15.1 Market Structure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15.2 Key Players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15.3 Profiles of Key Players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9" w:history="1">
        <w:r>
          <w:rPr>
            <w:rFonts w:ascii="times" w:eastAsia="times" w:hAnsi="times" w:cs="times"/>
            <w:b w:val="0"/>
            <w:i/>
            <w:strike w:val="0"/>
            <w:noProof w:val="0"/>
            <w:color w:val="0077CC"/>
            <w:position w:val="0"/>
            <w:sz w:val="20"/>
            <w:u w:val="single"/>
            <w:shd w:val="clear" w:color="auto" w:fill="FFFFFF"/>
            <w:vertAlign w:val="baseline"/>
          </w:rPr>
          <w:t>https://www.researchandmarkets.com/r/5dm458</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https://www.businesswire.com/news/home/20220411005460/en/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ResearchAndMarkets.com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Press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11,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Needle Coke Market (2022 to 2027) - Industry Trends, Share, Size, Growth, Opportunity and Forecasts - ResearchAndMarkets.com</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20411005460/en/" TargetMode="External" /><Relationship Id="rId11" Type="http://schemas.openxmlformats.org/officeDocument/2006/relationships/hyperlink" Target="mailto:press@researchandmarkets.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6G-HB41-DXY3-03D5-00000-00&amp;context=1516831" TargetMode="External" /><Relationship Id="rId9" Type="http://schemas.openxmlformats.org/officeDocument/2006/relationships/hyperlink" Target="https://www.researchandmarkets.com/reports/5562460/needle-coke-market-global-industry-trends?utm_source=BW&amp;utm_medium=PressRelease&amp;utm_code=qx57zb&amp;utm_campaign=1684970+-+Global+Needle+Coke+Market+(2022+to+2027)+-+Industry+Trends%2c+Share%2c+Size%2c+Growth%2c+Opportunity+and+Forecasts&amp;utm_exec=jamu273p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Needle Coke Market (2022 to 2027) - Industry Trends, Share, Size, Growth, Opportunity and Forecasts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