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Needle Coke Market (2022 to 2027) - Industry Trends, Share, Size, Growth, Opportunity and Forecasts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11,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April 11,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"Needle Coke Market: Global Industry Trends, Share, Size, Growth, Opportunity and Forecast 2022-2027" report has been added to ResearchAndMarkets.com's offering. The global needle coke market reached a value of US$ 3.76 Billion in 2021. Looking forward, the publisher expects the market to reach US$ 5.35 Billion by 2027, exhibiting at a CAGR of 5.96% during 2022-2027.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Asbury Carbons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C-Chem CO. Ltd (Nippon Steel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ENEOS Holdings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GrafTech International Ltd.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Graphite India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HEG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Mitsubishi Chemical Holdings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Mott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Sojitz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Sumitomo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Tokai Carbon Co.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Keeping in mind the uncertainties of COVID-19, we are continuously tracking and evaluating the direct as well as the indirect influence of the pandemic on different end use industries. These insights are included in the report as a major market contributor.Needle coke is a specialty grade carbon raw material derived from coal tar pitch, ethylene tar pitch, solvent refined coal, low-sulphur vacuum residues, or petroleum fluidized catalytic cracking (FCC) decant oil. It possesses high strength, electrical conductivity, real and bulk density, while having a low coefficient of thermal expansion (CTE) and heteroatom and ash content. It also exhibits excellent graphitizability on account of its strong parallel orientation of turbostratic layer structure and a particular physical shape of the grains.Needle coke is widely used as a carbonaceous filler in the production of graphite electrodes for ultra-high power electric arc furnaces (EAF) in the steel smelting industry. As these electrodes have low resistivity, high mechanical strength, and excellent thermal shock resistance and oxidation resistance, they are extensively utilized to melt scrap substitutes and maintain the temperature of molten steel.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Moreover, needle coke finds applications in the manufacturing of synthetic graphite, which is used to make lithium-ion batteries for electric vehicles (EVs). This, in confluence with the escalating demand for EVs worldwide on account of the rising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increasing environmental concerns, is contributing to the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Apart from this, needle coke is employed in the manufacturing of specialty carbon, which is gaining traction in the electronics industry as a viscosity control additive for electromagnetic shielding and a semi-conductive cable compound. In line with this, as specialty carbon has excellent tinting strength and dispersibility, it finds extensive usage in the construction industry. This, coupled with the thriving construction industry due to rapid urbanization and renovation of existing infrastructure, is anticipated to drive the market.Key Questions Answered in This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has the global needle coke market performed so far and how will it perform in the coming years?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has been the impact of COVID-19 on the global needle coke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grade?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application?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end use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structure of the global needle coke market and who are the key players?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 1 Preface2 Scope and Methodology3 Executive Summary4 Introduction4.1 Overview4.2 Key Industry Trends5 Global Needle Coke Market5.1 Market Overview5.2 Market Performance5.3 Impact of COVID-195.4 Market Forecast6 Market Breakup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Breakup by Grade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Market Breakup by Application9 Market Breakup by End Use Industry10 Market Breakup by Region11 SWOT Analysis12 Value Chain Analysis13 Porters Five Forces Analysis14 Price Analysis15 Competitive Landscape15.1 Market Structure15.2 Key Players15.3 Profiles of Key Players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https://www.researchandmarkets.com/r/nxkbl3</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Needle Coke Market (2022 to 2027) - Industry Trends, Share, Size, Growth, Opportunity and Forecasts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nxkbl3"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6G-9VH1-JD3Y-Y3D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Ryze Renewables Partners with Phillips 66 to Build Next-Gen Renewable Diesel Fuel Plants in Nevada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