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Development Company Provides Unaudited Balance Sheet Information and Announces its Net Asset Value and Asset Coverage Ratios at March 31,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3,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1077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Development Co  has issued the following press release: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Development Company (the “Company”) (NYSE:KED) today provided a summary unaudited statement of assets and liabilities and announced its net asset value and asset coverage ratios under the Investment Company Act of 1940 (the “1940 Act”) as of March 31, 2018.  As of March 31, 2018, the Company’s net assets were $168 million, and its net asset value per share was $15.60. As of March 31, 2018, the Company’s asset coverage ratio under the 1940 Act with respect to senior securities representing indebtedness was 407% and the Company’s asset coverage ratio under the 1940 Act with respect to total leverage (debt and preferred stock) was 291%.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Development Company     Statement of Assets and Liabilities     March 31, 2018     (Unaudited)               (in millions)         Per Share     Investments         $      266.8          $      24.76      Cash and cash equivalents                0.2                 0.01      Accrued income                0.1                 0.01      Other assets                0.4                 0.04      Total assets                267.5                 24.82                                Term loan and revolving credit facility               63.0                           5.85     Unamortized term loan issuance costs              (0.3)                           (0.03)      Preferred stock                25.0                 2.32      Unamortized preferred stock issuance costs                (0.1)                         (0.01)     Total leverage                87.6                 8.13                                Other liabilities                1.1                 0.10      Deferred income tax liability                10.7                 0.99      Total liabilities                11.8                 1.09                                Net assets         $      168.1          $      15.60                                The Company had 10,777,174 common shares outstanding as of March 31, 2018.    Long-term investments were comprised of Midstream MLP (81%), Midstream Company (17%) and Shipping MLP (2%).  The Company’s ten largest holdings by issuer at March 31, 2018 were:                                          Units / Shares (in thousands)         Amount (in millions)         Percent of Long-Term Investments 1.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(Midstream MLP)    1,898              $30.8               11.5    % 2.    ONEOK, Inc.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(Midstream Company)    410         23.3               8.7    % 3.    Enterprise Products Partners L.P. (Midstream MLP)    885         21.7               8.1    % 4.    Western Gas Partners, LP (Midstream MLP)    505         21.5               8.1    % 5.    Williams Partners L.P. (Midstream MLP)    581         20.0               7.5    % 6.    Targa Resources Corp. (Midstream Company)    417         18.3               6.9    % 7.    Buckeye Partners, L.P.  (Midstream MLP)*    505         17.8               6.7    % 8.    MPLX LP (Midstream MLP)    438         14.5               5.4    % 9.    Tallgrass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(Midstream MLP)**    266         10.1               3.8    % 10.    Plains GP Holdings, L.P. (Midstream MLP)    415         9.1               3.4    % _____________                    * Includes 270 common units ($10.1 million) and 235 Class C units ($7.7 million).  ** On March 26, 2018, Tallgrass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GP, LP (“TEGP”) and Tallgrass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(“TEP”) announced an agreement under which TEGP will acquire all common units of TEP in a stock-for-unit transaction. As of March 31, 2018, the Company owned 79 common shares ($1.5 million) of TEGP.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Development Company is a non-diversified, closed-end investment company registered under the Investment Company Act of 1940. The Company's investment objective is to generate both current income and capital appreciation primarily through equity and debt investments. The Company will seek to achieve this objective by investing at least 80% of its net assets together with the proceeds of any borrowings (its "total assets") in securities of companies that derive the majority of their revenue from activities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including: (a)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which are businesses that operate assets used to gather, transport, process, treat, terminal and store natural gas, natural gas liquids, propane, crude oil or refined petroleum products; (b) Upstream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which are businesses engaged in the exploration, extraction and production of natural resources, including natural gas, natural gas liquids and crude oil, from onshore and offshore geological reservoirs; and (c)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which are businesses engaged in owning, leasing, managing, producing, processing and sale of coal and coal reserves; the marine transportation of crude oil, refined petroleum products, liquefied natural gas, as well as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-related natural resources using tank vessels and bulk carriers; and refining, marketing and distributing refined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products, such as motor gasoline and propane to retail customers and industrial end-users.  CAUTIONARY NOTE REGARDING FORWARD-LOOKING STATEMENTS: This press release contains "forward-looking statements" as defined under the U.S. federal securities laws. Generally, the words "believe," "expect," "intend," "estimate," "anticipate," "project," "will" and similar expressions identify forward-looking statements, which generally are not historical in nature. Forward-looking statements are subject to certain risks and uncertainties that could cause actual results to materially differ from the Company's historical experience and its present expectations or projections indicated in any forward-looking statement.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commodity pricing risk; leverage risk; valuation risk; non-diversification risk; interest rate risk; tax risk; and other risks discussed in the Company's filings with the SEC. You should not place undue reliance on forward-looking statements, which speak only as of the date they are made. The Company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20,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Development Company Provides Unaudited Balance Sheet Information and Announces its Net Asset Value and Asset Coverage Ratios at March 31,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18-BJS1-J9XT-P23R-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March 31,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