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July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 2022 Monday 4:55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Aug.  01,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July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July 31, 2022, the Fund’s net assets were $480.3 million and its net asset value per share was $10.18. As of July 31, 2022, the Fund’s asset coverage ratio under the 1940 Act with respect to senior securities representing indebtedness was 498% and the Fund’s asset coverage ratio under the 1940 Act with respect to total leverage (debt and preferred stock) was 378%.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July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Bank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July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July 31, 2022, equity and debt investments were 99% and 1%, respectively, of the Fund’s long-term investments. Long-term investments were comprised of Midstream Company (37%), Natural Gas &amp; LNG Infrastructure Company (23%), Renewable Infrastructure Company (19%), Utility Company (16%),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(4%)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July 31,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6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July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H-J0Y1-JDPV-B56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Partners to Participate in Mizuho Energy Summit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